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4A" w:rsidRPr="0061539E" w:rsidRDefault="0087384A" w:rsidP="0087384A">
      <w:pPr>
        <w:rPr>
          <w:rFonts w:cs="Arial"/>
          <w:b/>
          <w:bCs/>
          <w:color w:val="000080"/>
          <w:sz w:val="40"/>
          <w:szCs w:val="40"/>
        </w:rPr>
      </w:pPr>
      <w:bookmarkStart w:id="0" w:name="Text1"/>
      <w:r>
        <w:rPr>
          <w:rFonts w:cs="Arial"/>
          <w:b/>
          <w:bCs/>
          <w:color w:val="000080"/>
          <w:sz w:val="40"/>
          <w:szCs w:val="40"/>
        </w:rPr>
        <w:t>TC250/SC7/EG</w:t>
      </w:r>
      <w:r>
        <w:rPr>
          <w:rFonts w:cs="Arial"/>
          <w:b/>
          <w:bCs/>
          <w:color w:val="000080"/>
          <w:sz w:val="40"/>
          <w:szCs w:val="40"/>
        </w:rPr>
        <w:t>6</w:t>
      </w:r>
      <w:bookmarkStart w:id="1" w:name="_GoBack"/>
      <w:bookmarkEnd w:id="1"/>
      <w:r>
        <w:rPr>
          <w:rFonts w:cs="Arial"/>
          <w:b/>
          <w:bCs/>
          <w:color w:val="000080"/>
          <w:sz w:val="40"/>
          <w:szCs w:val="40"/>
        </w:rPr>
        <w:t xml:space="preserve">: </w:t>
      </w:r>
      <w:r>
        <w:rPr>
          <w:rFonts w:cs="Arial"/>
          <w:b/>
          <w:bCs/>
          <w:color w:val="000080"/>
          <w:sz w:val="40"/>
          <w:szCs w:val="40"/>
        </w:rPr>
        <w:t>Seismic Design</w:t>
      </w:r>
    </w:p>
    <w:p w:rsidR="0087384A" w:rsidRDefault="0087384A" w:rsidP="0087384A">
      <w:pPr>
        <w:spacing w:before="120" w:after="120"/>
        <w:rPr>
          <w:rFonts w:cs="Arial"/>
          <w:b/>
          <w:bCs/>
          <w:color w:val="000080"/>
          <w:sz w:val="32"/>
          <w:szCs w:val="32"/>
        </w:rPr>
      </w:pPr>
      <w:r>
        <w:rPr>
          <w:rFonts w:cs="Arial"/>
          <w:b/>
          <w:bCs/>
          <w:color w:val="000080"/>
          <w:sz w:val="32"/>
          <w:szCs w:val="32"/>
        </w:rPr>
        <w:t>(</w:t>
      </w:r>
      <w:proofErr w:type="gramStart"/>
      <w:r>
        <w:rPr>
          <w:rFonts w:cs="Arial"/>
          <w:b/>
          <w:bCs/>
          <w:color w:val="000080"/>
          <w:sz w:val="32"/>
          <w:szCs w:val="32"/>
        </w:rPr>
        <w:t>draft</w:t>
      </w:r>
      <w:proofErr w:type="gramEnd"/>
      <w:r>
        <w:rPr>
          <w:rFonts w:cs="Arial"/>
          <w:b/>
          <w:bCs/>
          <w:color w:val="000080"/>
          <w:sz w:val="32"/>
          <w:szCs w:val="32"/>
        </w:rPr>
        <w:t xml:space="preserve">) </w:t>
      </w:r>
      <w:r>
        <w:rPr>
          <w:rFonts w:cs="Arial"/>
          <w:b/>
          <w:bCs/>
          <w:color w:val="000080"/>
          <w:sz w:val="32"/>
          <w:szCs w:val="32"/>
        </w:rPr>
        <w:t xml:space="preserve">Interim </w:t>
      </w:r>
      <w:r>
        <w:rPr>
          <w:rFonts w:cs="Arial"/>
          <w:b/>
          <w:bCs/>
          <w:color w:val="000080"/>
          <w:sz w:val="32"/>
          <w:szCs w:val="32"/>
        </w:rPr>
        <w:t>Report 2014</w:t>
      </w:r>
    </w:p>
    <w:p w:rsidR="00065204" w:rsidRDefault="00065204" w:rsidP="00055E0E">
      <w:pPr>
        <w:pStyle w:val="Heading1"/>
        <w:rPr>
          <w:kern w:val="32"/>
        </w:rPr>
      </w:pPr>
      <w:bookmarkStart w:id="2" w:name="_Toc68753580"/>
      <w:bookmarkEnd w:id="0"/>
      <w:r>
        <w:rPr>
          <w:kern w:val="32"/>
        </w:rPr>
        <w:t>Active membership</w:t>
      </w:r>
    </w:p>
    <w:p w:rsidR="00065204" w:rsidRPr="005636CD" w:rsidRDefault="00065204" w:rsidP="005636CD"/>
    <w:tbl>
      <w:tblPr>
        <w:tblW w:w="3744" w:type="pct"/>
        <w:tblLook w:val="0000" w:firstRow="0" w:lastRow="0" w:firstColumn="0" w:lastColumn="0" w:noHBand="0" w:noVBand="0"/>
      </w:tblPr>
      <w:tblGrid>
        <w:gridCol w:w="2946"/>
        <w:gridCol w:w="1560"/>
        <w:gridCol w:w="2125"/>
      </w:tblGrid>
      <w:tr w:rsidR="003124A1" w:rsidRPr="0061539E" w:rsidTr="003124A1">
        <w:trPr>
          <w:cantSplit/>
          <w:trHeight w:val="270"/>
        </w:trPr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:rsidR="003124A1" w:rsidRPr="00572B41" w:rsidRDefault="003124A1" w:rsidP="00947CE6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 w:rsidRPr="00572B41">
              <w:rPr>
                <w:rFonts w:cs="Arial"/>
              </w:rPr>
              <w:t>Name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CCCFF"/>
          </w:tcPr>
          <w:p w:rsidR="003124A1" w:rsidRDefault="003124A1" w:rsidP="00947CE6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Position*</w:t>
            </w:r>
          </w:p>
        </w:tc>
        <w:tc>
          <w:tcPr>
            <w:tcW w:w="160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CCCFF"/>
          </w:tcPr>
          <w:p w:rsidR="003124A1" w:rsidRPr="0061539E" w:rsidRDefault="003124A1" w:rsidP="00947CE6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Country</w:t>
            </w:r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572B4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Alberto Bernal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Spain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Raffaele di </w:t>
            </w:r>
            <w:proofErr w:type="spellStart"/>
            <w:r>
              <w:rPr>
                <w:rFonts w:cs="Arial"/>
                <w:b/>
              </w:rPr>
              <w:t>Laora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  <w:r>
              <w:rPr>
                <w:rFonts w:cs="Arial"/>
              </w:rPr>
              <w:t>Secretary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Italy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Amir </w:t>
            </w:r>
            <w:proofErr w:type="spellStart"/>
            <w:r>
              <w:rPr>
                <w:rFonts w:cs="Arial"/>
                <w:b/>
              </w:rPr>
              <w:t>Kaynia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Norway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572B41" w:rsidRDefault="003124A1" w:rsidP="00947CE6">
            <w:p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Ziggy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Lubkowski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UK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Daniel </w:t>
            </w:r>
            <w:proofErr w:type="spellStart"/>
            <w:r>
              <w:rPr>
                <w:rFonts w:cs="Arial"/>
                <w:b/>
              </w:rPr>
              <w:t>Manoli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</w:rPr>
            </w:pPr>
            <w:r>
              <w:rPr>
                <w:rFonts w:cs="Arial"/>
              </w:rPr>
              <w:t>Romania</w:t>
            </w:r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572B4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Baran </w:t>
            </w:r>
            <w:proofErr w:type="spellStart"/>
            <w:r>
              <w:rPr>
                <w:rFonts w:cs="Arial"/>
                <w:b/>
              </w:rPr>
              <w:t>Ozsoy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Turkey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Vincenzo Pane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Italy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Achilleas</w:t>
            </w:r>
            <w:proofErr w:type="spellEnd"/>
            <w:r>
              <w:rPr>
                <w:rFonts w:cs="Arial"/>
                <w:b/>
              </w:rPr>
              <w:t xml:space="preserve"> Papadimitriou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Greece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Panicos</w:t>
            </w:r>
            <w:proofErr w:type="spellEnd"/>
            <w:r>
              <w:rPr>
                <w:rFonts w:cs="Arial"/>
                <w:b/>
              </w:rPr>
              <w:t xml:space="preserve"> Papadopoulos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Cyprus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Onur </w:t>
            </w:r>
            <w:proofErr w:type="spellStart"/>
            <w:r>
              <w:rPr>
                <w:rFonts w:cs="Arial"/>
                <w:b/>
              </w:rPr>
              <w:t>Peckan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Turkey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Alain Pecker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France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Selman </w:t>
            </w:r>
            <w:proofErr w:type="spellStart"/>
            <w:r>
              <w:rPr>
                <w:rFonts w:cs="Arial"/>
                <w:b/>
              </w:rPr>
              <w:t>Saglam</w:t>
            </w:r>
            <w:proofErr w:type="spellEnd"/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Turkey</w:t>
                </w:r>
              </w:smartTag>
            </w:smartTag>
          </w:p>
        </w:tc>
      </w:tr>
      <w:tr w:rsidR="003124A1" w:rsidRPr="0061539E" w:rsidTr="003124A1">
        <w:trPr>
          <w:cantSplit/>
          <w:trHeight w:val="300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Default="003124A1" w:rsidP="00947CE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Giuseppe Scarpelli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24A1" w:rsidRPr="0061539E" w:rsidRDefault="003124A1" w:rsidP="00947CE6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Convenor</w:t>
            </w:r>
            <w:proofErr w:type="spellEnd"/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4A1" w:rsidRPr="0061539E" w:rsidRDefault="003124A1" w:rsidP="00947CE6">
            <w:pPr>
              <w:rPr>
                <w:rFonts w:cs="Arial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cs="Arial"/>
                  </w:rPr>
                  <w:t>Italy</w:t>
                </w:r>
              </w:smartTag>
            </w:smartTag>
          </w:p>
        </w:tc>
      </w:tr>
    </w:tbl>
    <w:p w:rsidR="00065204" w:rsidRDefault="00065204" w:rsidP="00717336">
      <w:pPr>
        <w:pStyle w:val="Heading1"/>
        <w:jc w:val="both"/>
      </w:pPr>
    </w:p>
    <w:p w:rsidR="00065204" w:rsidRDefault="00065204" w:rsidP="002E5BCE">
      <w:pPr>
        <w:jc w:val="both"/>
      </w:pPr>
      <w:r>
        <w:br w:type="page"/>
      </w:r>
    </w:p>
    <w:p w:rsidR="00065204" w:rsidRDefault="00065204" w:rsidP="005636CD">
      <w:pPr>
        <w:pStyle w:val="Heading1"/>
        <w:rPr>
          <w:kern w:val="32"/>
        </w:rPr>
      </w:pPr>
      <w:r>
        <w:rPr>
          <w:kern w:val="32"/>
        </w:rPr>
        <w:lastRenderedPageBreak/>
        <w:t>Meetings</w:t>
      </w:r>
    </w:p>
    <w:p w:rsidR="00065204" w:rsidRPr="005636CD" w:rsidRDefault="00065204" w:rsidP="005636CD"/>
    <w:tbl>
      <w:tblPr>
        <w:tblW w:w="2543" w:type="pct"/>
        <w:tblLook w:val="0000" w:firstRow="0" w:lastRow="0" w:firstColumn="0" w:lastColumn="0" w:noHBand="0" w:noVBand="0"/>
      </w:tblPr>
      <w:tblGrid>
        <w:gridCol w:w="1952"/>
        <w:gridCol w:w="2552"/>
      </w:tblGrid>
      <w:tr w:rsidR="00433D40" w:rsidRPr="0061539E" w:rsidTr="00433D40">
        <w:trPr>
          <w:cantSplit/>
          <w:trHeight w:val="270"/>
        </w:trPr>
        <w:tc>
          <w:tcPr>
            <w:tcW w:w="21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vAlign w:val="center"/>
          </w:tcPr>
          <w:p w:rsidR="00433D40" w:rsidRPr="0061539E" w:rsidRDefault="00433D40" w:rsidP="00947CE6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Tele-meeting no.</w:t>
            </w:r>
          </w:p>
        </w:tc>
        <w:tc>
          <w:tcPr>
            <w:tcW w:w="28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  <w:vAlign w:val="center"/>
          </w:tcPr>
          <w:p w:rsidR="00433D40" w:rsidRPr="0061539E" w:rsidRDefault="00433D40" w:rsidP="00E151E2">
            <w:pPr>
              <w:pStyle w:val="StyleTableHeader10pt"/>
              <w:spacing w:before="20" w:after="60"/>
              <w:jc w:val="left"/>
              <w:rPr>
                <w:rFonts w:cs="Arial"/>
              </w:rPr>
            </w:pPr>
            <w:r w:rsidRPr="0061539E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</w:t>
            </w:r>
          </w:p>
        </w:tc>
        <w:tc>
          <w:tcPr>
            <w:tcW w:w="2833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18 July 2011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2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11 September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3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30 November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4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26 January 2012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5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21 May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6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24 July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Pr="00D7541E" w:rsidRDefault="00433D40" w:rsidP="00947CE6">
            <w:pPr>
              <w:spacing w:after="120" w:line="240" w:lineRule="auto"/>
              <w:jc w:val="both"/>
            </w:pPr>
            <w:r w:rsidRPr="00D7541E">
              <w:t>7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11 October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Pr="00D7541E" w:rsidRDefault="00433D40" w:rsidP="00947CE6">
            <w:pPr>
              <w:spacing w:after="120" w:line="240" w:lineRule="auto"/>
              <w:jc w:val="both"/>
            </w:pPr>
            <w:r w:rsidRPr="00D7541E">
              <w:t>8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4 December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Pr="00D7541E" w:rsidRDefault="00433D40" w:rsidP="00947CE6">
            <w:pPr>
              <w:spacing w:after="120" w:line="240" w:lineRule="auto"/>
              <w:jc w:val="both"/>
            </w:pPr>
            <w:r>
              <w:t>9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 w:rsidRPr="00F362CC">
              <w:t>21 January 2013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10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  <w:rPr>
                <w:highlight w:val="yellow"/>
              </w:rPr>
            </w:pPr>
            <w:r w:rsidRPr="00B82D2F">
              <w:t xml:space="preserve">12 March 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11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  <w:rPr>
                <w:highlight w:val="yellow"/>
              </w:rPr>
            </w:pPr>
            <w:r w:rsidRPr="00B82D2F">
              <w:t xml:space="preserve">26 April 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12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Pr="00B82D2F" w:rsidRDefault="00433D40" w:rsidP="00947CE6">
            <w:pPr>
              <w:spacing w:after="120" w:line="240" w:lineRule="auto"/>
              <w:jc w:val="both"/>
            </w:pPr>
            <w:r>
              <w:t xml:space="preserve">19 November 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13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25 March 2014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14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 xml:space="preserve">25 June 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15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 xml:space="preserve">2 July </w:t>
            </w:r>
          </w:p>
        </w:tc>
      </w:tr>
      <w:tr w:rsidR="00433D40" w:rsidRPr="0061539E" w:rsidTr="00433D40">
        <w:trPr>
          <w:cantSplit/>
          <w:trHeight w:val="3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>16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D40" w:rsidRDefault="00433D40" w:rsidP="00947CE6">
            <w:pPr>
              <w:spacing w:after="120" w:line="240" w:lineRule="auto"/>
              <w:jc w:val="both"/>
            </w:pPr>
            <w:r>
              <w:t xml:space="preserve">31 July </w:t>
            </w:r>
          </w:p>
        </w:tc>
      </w:tr>
    </w:tbl>
    <w:p w:rsidR="00065204" w:rsidRDefault="00065204" w:rsidP="002E5BCE">
      <w:pPr>
        <w:pStyle w:val="Heading1"/>
        <w:rPr>
          <w:kern w:val="32"/>
        </w:rPr>
      </w:pPr>
    </w:p>
    <w:p w:rsidR="00065204" w:rsidRDefault="00065204" w:rsidP="00717336">
      <w:pPr>
        <w:pStyle w:val="Heading1"/>
        <w:jc w:val="both"/>
      </w:pPr>
      <w:r>
        <w:br w:type="page"/>
      </w:r>
    </w:p>
    <w:p w:rsidR="00065204" w:rsidRDefault="00065204" w:rsidP="00717336">
      <w:pPr>
        <w:pStyle w:val="Heading1"/>
        <w:jc w:val="both"/>
      </w:pPr>
    </w:p>
    <w:p w:rsidR="00065204" w:rsidRPr="00CB6103" w:rsidRDefault="00065204" w:rsidP="00717336">
      <w:pPr>
        <w:pStyle w:val="Heading1"/>
        <w:jc w:val="both"/>
      </w:pPr>
      <w:r>
        <w:t xml:space="preserve">Agreed </w:t>
      </w:r>
      <w:r w:rsidRPr="00E675A7">
        <w:t>Scope</w:t>
      </w:r>
      <w:r>
        <w:t xml:space="preserve"> of work</w:t>
      </w:r>
      <w:bookmarkEnd w:id="2"/>
    </w:p>
    <w:p w:rsidR="00065204" w:rsidRDefault="00065204" w:rsidP="00E317B6">
      <w:pPr>
        <w:jc w:val="both"/>
      </w:pPr>
      <w:bookmarkStart w:id="3" w:name="_Toc69743734"/>
      <w:bookmarkStart w:id="4" w:name="OLE_LINK1"/>
      <w:bookmarkStart w:id="5" w:name="OLE_LINK2"/>
    </w:p>
    <w:p w:rsidR="00065204" w:rsidRDefault="00065204" w:rsidP="00E317B6">
      <w:pPr>
        <w:jc w:val="both"/>
      </w:pPr>
      <w:r w:rsidRPr="004A605F">
        <w:t>The p</w:t>
      </w:r>
      <w:r>
        <w:t>u</w:t>
      </w:r>
      <w:r w:rsidRPr="004A605F">
        <w:t>rpose of EG</w:t>
      </w:r>
      <w:r>
        <w:t>6</w:t>
      </w:r>
      <w:r w:rsidRPr="004A605F">
        <w:t xml:space="preserve"> is to advise TC250/SC7 on </w:t>
      </w:r>
      <w:r>
        <w:t xml:space="preserve">the </w:t>
      </w:r>
      <w:r w:rsidRPr="00013F82">
        <w:rPr>
          <w:b/>
        </w:rPr>
        <w:t>interplay between Eurocode 7 and Eurocode 8</w:t>
      </w:r>
      <w:r>
        <w:t xml:space="preserve">, specifically of its part 5. </w:t>
      </w:r>
      <w:r w:rsidRPr="004A605F">
        <w:t xml:space="preserve">The </w:t>
      </w:r>
      <w:r>
        <w:t xml:space="preserve">overall aim </w:t>
      </w:r>
      <w:proofErr w:type="gramStart"/>
      <w:r>
        <w:t>is</w:t>
      </w:r>
      <w:r w:rsidRPr="004A605F">
        <w:t xml:space="preserve"> </w:t>
      </w:r>
      <w:r>
        <w:t>:</w:t>
      </w:r>
      <w:proofErr w:type="gramEnd"/>
    </w:p>
    <w:p w:rsidR="00065204" w:rsidRDefault="00065204" w:rsidP="00013F82">
      <w:pPr>
        <w:ind w:left="709" w:hanging="283"/>
        <w:jc w:val="both"/>
      </w:pPr>
      <w:r>
        <w:t>-</w:t>
      </w:r>
      <w:r>
        <w:tab/>
      </w:r>
      <w:proofErr w:type="gramStart"/>
      <w:r>
        <w:t>to</w:t>
      </w:r>
      <w:proofErr w:type="gramEnd"/>
      <w:r>
        <w:t xml:space="preserve"> explore the potential for greater compatibility/consistency between </w:t>
      </w:r>
      <w:r w:rsidR="00D84350">
        <w:t>EN 1997</w:t>
      </w:r>
      <w:r>
        <w:t xml:space="preserve"> and </w:t>
      </w:r>
      <w:r w:rsidR="00D84350">
        <w:t>EN 1998</w:t>
      </w:r>
    </w:p>
    <w:p w:rsidR="00065204" w:rsidRDefault="00065204" w:rsidP="00290465">
      <w:pPr>
        <w:ind w:left="426"/>
        <w:jc w:val="both"/>
      </w:pPr>
      <w:r>
        <w:t>-</w:t>
      </w:r>
      <w:r>
        <w:tab/>
      </w:r>
      <w:proofErr w:type="gramStart"/>
      <w:r w:rsidRPr="004A605F">
        <w:t>to</w:t>
      </w:r>
      <w:proofErr w:type="gramEnd"/>
      <w:r w:rsidRPr="004A605F">
        <w:t xml:space="preserve"> </w:t>
      </w:r>
      <w:r>
        <w:t xml:space="preserve">examine geotechnical design as it results from the joint use of the two </w:t>
      </w:r>
      <w:proofErr w:type="spellStart"/>
      <w:r>
        <w:t>Eurocodes</w:t>
      </w:r>
      <w:proofErr w:type="spellEnd"/>
      <w:r>
        <w:t>;</w:t>
      </w:r>
    </w:p>
    <w:p w:rsidR="00065204" w:rsidRDefault="00065204" w:rsidP="00013F82">
      <w:pPr>
        <w:ind w:left="709" w:hanging="283"/>
        <w:jc w:val="both"/>
      </w:pPr>
      <w:r>
        <w:t>-</w:t>
      </w:r>
      <w:r>
        <w:tab/>
      </w:r>
      <w:proofErr w:type="gramStart"/>
      <w:r>
        <w:t>to</w:t>
      </w:r>
      <w:proofErr w:type="gramEnd"/>
      <w:r>
        <w:t xml:space="preserve"> evaluate the efficiency and the sustainability of  the resulting design in the whole.</w:t>
      </w:r>
    </w:p>
    <w:p w:rsidR="00065204" w:rsidRPr="005636CD" w:rsidRDefault="00065204" w:rsidP="00E317B6">
      <w:pPr>
        <w:jc w:val="both"/>
      </w:pPr>
      <w:r>
        <w:t xml:space="preserve">This scope of work is in total alignment with the scopes stated for both </w:t>
      </w:r>
      <w:r w:rsidR="00D84350">
        <w:t xml:space="preserve">EN </w:t>
      </w:r>
      <w:proofErr w:type="gramStart"/>
      <w:r w:rsidR="00D84350">
        <w:t>1997</w:t>
      </w:r>
      <w:r>
        <w:t xml:space="preserve">  </w:t>
      </w:r>
      <w:r w:rsidR="00D84350">
        <w:t>EN</w:t>
      </w:r>
      <w:proofErr w:type="gramEnd"/>
      <w:r w:rsidR="00D84350">
        <w:t xml:space="preserve"> 1998</w:t>
      </w:r>
      <w:r>
        <w:t xml:space="preserve"> in </w:t>
      </w:r>
      <w:r w:rsidRPr="005636CD">
        <w:rPr>
          <w:b/>
        </w:rPr>
        <w:t>CEN/TC 250 Programming Mandates.</w:t>
      </w:r>
    </w:p>
    <w:p w:rsidR="00065204" w:rsidRDefault="00065204" w:rsidP="00E317B6">
      <w:pPr>
        <w:jc w:val="both"/>
      </w:pPr>
      <w:r>
        <w:t>e.g</w:t>
      </w:r>
      <w:proofErr w:type="gramStart"/>
      <w:r>
        <w:t>. :</w:t>
      </w:r>
      <w:proofErr w:type="gramEnd"/>
      <w:r>
        <w:t xml:space="preserve">  CEN/TC250 Programming Mandate M/466, June 2011</w:t>
      </w:r>
    </w:p>
    <w:p w:rsidR="00065204" w:rsidRDefault="00065204" w:rsidP="00E317B6">
      <w:pPr>
        <w:jc w:val="both"/>
      </w:pPr>
      <w:r>
        <w:rPr>
          <w:b/>
        </w:rPr>
        <w:t>B.8</w:t>
      </w:r>
      <w:r>
        <w:rPr>
          <w:b/>
        </w:rPr>
        <w:tab/>
      </w:r>
      <w:r w:rsidRPr="00587046">
        <w:rPr>
          <w:b/>
        </w:rPr>
        <w:t>EN 1997, pg. 68</w:t>
      </w:r>
      <w:r>
        <w:rPr>
          <w:b/>
        </w:rPr>
        <w:t>, Justification and impact</w:t>
      </w:r>
      <w:r>
        <w:t>:</w:t>
      </w:r>
    </w:p>
    <w:p w:rsidR="00065204" w:rsidRDefault="00065204" w:rsidP="00E317B6">
      <w:pPr>
        <w:jc w:val="both"/>
      </w:pPr>
      <w:r>
        <w:t>“</w:t>
      </w:r>
      <w:r>
        <w:rPr>
          <w:i/>
        </w:rPr>
        <w:t>T</w:t>
      </w:r>
      <w:r w:rsidRPr="00587046">
        <w:rPr>
          <w:i/>
        </w:rPr>
        <w:t>he existing rules for the seismic design of foundations given in EN 1998-5 were developed largely in isolation from the development of EN 1997. Greater compatibility between the separate codes is intended</w:t>
      </w:r>
      <w:r>
        <w:t>”</w:t>
      </w:r>
    </w:p>
    <w:p w:rsidR="00065204" w:rsidRDefault="00065204" w:rsidP="00E317B6">
      <w:pPr>
        <w:jc w:val="both"/>
      </w:pPr>
    </w:p>
    <w:p w:rsidR="00065204" w:rsidRDefault="00065204" w:rsidP="00587046">
      <w:pPr>
        <w:jc w:val="both"/>
      </w:pPr>
      <w:r>
        <w:t>e.g</w:t>
      </w:r>
      <w:proofErr w:type="gramStart"/>
      <w:r>
        <w:t>. :</w:t>
      </w:r>
      <w:proofErr w:type="gramEnd"/>
      <w:r>
        <w:t xml:space="preserve">  CEN/TC250 Programming Mandate M/466, June 2011</w:t>
      </w:r>
    </w:p>
    <w:p w:rsidR="00065204" w:rsidRDefault="00065204" w:rsidP="00587046">
      <w:pPr>
        <w:jc w:val="both"/>
      </w:pPr>
      <w:r>
        <w:rPr>
          <w:b/>
        </w:rPr>
        <w:t>B.9.4</w:t>
      </w:r>
      <w:r>
        <w:rPr>
          <w:b/>
        </w:rPr>
        <w:tab/>
      </w:r>
      <w:r w:rsidRPr="00587046">
        <w:rPr>
          <w:b/>
        </w:rPr>
        <w:t>EN 1998</w:t>
      </w:r>
      <w:r>
        <w:rPr>
          <w:b/>
        </w:rPr>
        <w:t>-5</w:t>
      </w:r>
      <w:r w:rsidRPr="00587046">
        <w:rPr>
          <w:b/>
        </w:rPr>
        <w:t>, pg. 75</w:t>
      </w:r>
      <w:r>
        <w:rPr>
          <w:b/>
        </w:rPr>
        <w:t>, Scope of work</w:t>
      </w:r>
      <w:r>
        <w:t>:</w:t>
      </w:r>
    </w:p>
    <w:p w:rsidR="00065204" w:rsidRDefault="00065204" w:rsidP="00587046">
      <w:pPr>
        <w:jc w:val="both"/>
      </w:pPr>
      <w:r>
        <w:t>“</w:t>
      </w:r>
      <w:r>
        <w:rPr>
          <w:i/>
        </w:rPr>
        <w:t>T</w:t>
      </w:r>
      <w:r w:rsidRPr="00587046">
        <w:rPr>
          <w:i/>
        </w:rPr>
        <w:t xml:space="preserve">he </w:t>
      </w:r>
      <w:r>
        <w:rPr>
          <w:i/>
        </w:rPr>
        <w:t xml:space="preserve">potential for simplification of rules and better consistency with other Parts of EN 1998 (namely EN 1998-1) and EN </w:t>
      </w:r>
      <w:smartTag w:uri="urn:schemas-microsoft-com:office:smarttags" w:element="metricconverter">
        <w:smartTagPr>
          <w:attr w:name="ProductID" w:val="1997”"/>
        </w:smartTagPr>
        <w:r>
          <w:rPr>
            <w:i/>
          </w:rPr>
          <w:t>1997</w:t>
        </w:r>
        <w:r>
          <w:t>”</w:t>
        </w:r>
      </w:smartTag>
    </w:p>
    <w:p w:rsidR="00065204" w:rsidRDefault="00065204" w:rsidP="00E317B6">
      <w:pPr>
        <w:jc w:val="both"/>
      </w:pPr>
      <w:r>
        <w:br w:type="page"/>
      </w:r>
    </w:p>
    <w:p w:rsidR="00065204" w:rsidRDefault="00065204" w:rsidP="00E317B6">
      <w:pPr>
        <w:jc w:val="both"/>
        <w:rPr>
          <w:b/>
        </w:rPr>
      </w:pPr>
    </w:p>
    <w:p w:rsidR="00065204" w:rsidRDefault="00065204" w:rsidP="003B2C0E">
      <w:pPr>
        <w:pStyle w:val="Heading1"/>
        <w:jc w:val="both"/>
      </w:pPr>
      <w:r>
        <w:t xml:space="preserve">Some Specific Tasks of EG6 </w:t>
      </w:r>
    </w:p>
    <w:p w:rsidR="00065204" w:rsidRPr="003B2C0E" w:rsidRDefault="00065204" w:rsidP="003B2C0E"/>
    <w:p w:rsidR="00065204" w:rsidRPr="00ED148A" w:rsidRDefault="00065204" w:rsidP="00E317B6">
      <w:pPr>
        <w:pStyle w:val="ListParagraph"/>
        <w:numPr>
          <w:ilvl w:val="0"/>
          <w:numId w:val="35"/>
        </w:numPr>
        <w:jc w:val="both"/>
      </w:pPr>
      <w:r w:rsidRPr="00ED148A">
        <w:t xml:space="preserve">Identify the interplay and possible inconsistencies between </w:t>
      </w:r>
      <w:proofErr w:type="spellStart"/>
      <w:r w:rsidRPr="00ED148A">
        <w:t>Eurocodes</w:t>
      </w:r>
      <w:proofErr w:type="spellEnd"/>
      <w:r w:rsidRPr="00ED148A">
        <w:t xml:space="preserve"> 7 and 8: </w:t>
      </w:r>
      <w:r w:rsidRPr="00013F82">
        <w:rPr>
          <w:b/>
        </w:rPr>
        <w:t>by means of practical examples</w:t>
      </w:r>
      <w:r w:rsidRPr="00ED148A">
        <w:t xml:space="preserve"> </w:t>
      </w:r>
    </w:p>
    <w:p w:rsidR="00065204" w:rsidRDefault="00065204" w:rsidP="00E317B6">
      <w:pPr>
        <w:pStyle w:val="ListParagraph"/>
        <w:numPr>
          <w:ilvl w:val="0"/>
          <w:numId w:val="35"/>
        </w:numPr>
        <w:jc w:val="both"/>
      </w:pPr>
      <w:r w:rsidRPr="00ED148A">
        <w:t xml:space="preserve">Prepare a list of clauses to be added to Eurocode 7 for both part1 and 2, referring the relevant sections of Eurocode 8 </w:t>
      </w:r>
    </w:p>
    <w:p w:rsidR="00065204" w:rsidRPr="00ED148A" w:rsidRDefault="00065204" w:rsidP="00E317B6">
      <w:pPr>
        <w:pStyle w:val="ListParagraph"/>
        <w:numPr>
          <w:ilvl w:val="0"/>
          <w:numId w:val="35"/>
        </w:numPr>
        <w:jc w:val="both"/>
      </w:pPr>
      <w:r>
        <w:t xml:space="preserve">To identify, and possibly develop, specific sections of </w:t>
      </w:r>
      <w:r w:rsidR="00D84350">
        <w:t>EN 1997</w:t>
      </w:r>
      <w:r>
        <w:t xml:space="preserve"> dealing with </w:t>
      </w:r>
      <w:r w:rsidRPr="00013F82">
        <w:rPr>
          <w:b/>
        </w:rPr>
        <w:t>dynamic loading</w:t>
      </w:r>
      <w:r>
        <w:t xml:space="preserve"> (e.g. : vibrations) and </w:t>
      </w:r>
      <w:r w:rsidRPr="00013F82">
        <w:rPr>
          <w:b/>
        </w:rPr>
        <w:t>ground investigation in seismic regions</w:t>
      </w:r>
    </w:p>
    <w:p w:rsidR="00065204" w:rsidRPr="00ED148A" w:rsidRDefault="00065204" w:rsidP="00E317B6">
      <w:pPr>
        <w:pStyle w:val="ListParagraph"/>
        <w:numPr>
          <w:ilvl w:val="0"/>
          <w:numId w:val="35"/>
        </w:numPr>
        <w:jc w:val="both"/>
      </w:pPr>
      <w:r w:rsidRPr="00ED148A">
        <w:t xml:space="preserve">To collect and list national procedures for geotechnical design in </w:t>
      </w:r>
      <w:r>
        <w:t>regions of medium-high seismicity.</w:t>
      </w:r>
    </w:p>
    <w:p w:rsidR="00065204" w:rsidRPr="00ED148A" w:rsidRDefault="00065204" w:rsidP="00E317B6">
      <w:pPr>
        <w:pStyle w:val="ListParagraph"/>
        <w:numPr>
          <w:ilvl w:val="0"/>
          <w:numId w:val="35"/>
        </w:numPr>
        <w:jc w:val="both"/>
      </w:pPr>
      <w:r w:rsidRPr="00ED148A">
        <w:t xml:space="preserve">Compare levels of safety explicitly or implicitly adopted by the different countries both for static and </w:t>
      </w:r>
      <w:proofErr w:type="gramStart"/>
      <w:r w:rsidRPr="00ED148A">
        <w:t>seismic  conditions</w:t>
      </w:r>
      <w:proofErr w:type="gramEnd"/>
      <w:r w:rsidRPr="00ED148A">
        <w:t>.</w:t>
      </w:r>
      <w:r>
        <w:t xml:space="preserve"> </w:t>
      </w:r>
    </w:p>
    <w:p w:rsidR="00065204" w:rsidRDefault="00065204" w:rsidP="00E317B6">
      <w:pPr>
        <w:pStyle w:val="ListParagraph"/>
        <w:numPr>
          <w:ilvl w:val="0"/>
          <w:numId w:val="35"/>
        </w:numPr>
        <w:jc w:val="both"/>
      </w:pPr>
      <w:r w:rsidRPr="00ED148A">
        <w:t xml:space="preserve">To select and suggest design procedures to evaluate the </w:t>
      </w:r>
      <w:r w:rsidRPr="00013F82">
        <w:rPr>
          <w:b/>
        </w:rPr>
        <w:t>performance</w:t>
      </w:r>
      <w:r w:rsidRPr="00ED148A">
        <w:t xml:space="preserve"> under seismic actions of typical geotechnical structures initially designed for static loadings</w:t>
      </w:r>
      <w:r>
        <w:t>.</w:t>
      </w:r>
    </w:p>
    <w:p w:rsidR="00065204" w:rsidRDefault="00065204" w:rsidP="003B2C0E">
      <w:pPr>
        <w:pStyle w:val="ListParagraph"/>
        <w:jc w:val="both"/>
      </w:pPr>
    </w:p>
    <w:p w:rsidR="00065204" w:rsidRDefault="00065204" w:rsidP="003B2C0E">
      <w:pPr>
        <w:pStyle w:val="ListParagraph"/>
        <w:ind w:left="0"/>
        <w:jc w:val="both"/>
      </w:pPr>
      <w:r w:rsidRPr="003B2C0E">
        <w:rPr>
          <w:b/>
        </w:rPr>
        <w:t>A fruit</w:t>
      </w:r>
      <w:r w:rsidR="00D84350">
        <w:rPr>
          <w:b/>
        </w:rPr>
        <w:t xml:space="preserve">ful and continuous </w:t>
      </w:r>
      <w:proofErr w:type="spellStart"/>
      <w:r w:rsidR="00D84350">
        <w:rPr>
          <w:b/>
        </w:rPr>
        <w:t>liason</w:t>
      </w:r>
      <w:proofErr w:type="spellEnd"/>
      <w:r w:rsidR="00D84350">
        <w:rPr>
          <w:b/>
        </w:rPr>
        <w:t xml:space="preserve"> with the subcommittee TC250/SC</w:t>
      </w:r>
      <w:r w:rsidRPr="003B2C0E">
        <w:rPr>
          <w:b/>
        </w:rPr>
        <w:t>8</w:t>
      </w:r>
      <w:r>
        <w:t xml:space="preserve"> is deemed to be necessary to accomplish the scope and the specific tasks.</w:t>
      </w:r>
    </w:p>
    <w:p w:rsidR="00065204" w:rsidRDefault="00065204" w:rsidP="003B2C0E">
      <w:pPr>
        <w:pStyle w:val="ListParagraph"/>
        <w:jc w:val="both"/>
      </w:pPr>
    </w:p>
    <w:p w:rsidR="00065204" w:rsidRPr="00E4626E" w:rsidRDefault="00065204" w:rsidP="003B2C0E">
      <w:pPr>
        <w:pStyle w:val="ListParagraph"/>
        <w:jc w:val="both"/>
      </w:pPr>
    </w:p>
    <w:p w:rsidR="00065204" w:rsidRDefault="00065204" w:rsidP="00601E34">
      <w:pPr>
        <w:pStyle w:val="Heading1"/>
        <w:rPr>
          <w:kern w:val="32"/>
        </w:rPr>
      </w:pPr>
    </w:p>
    <w:p w:rsidR="00065204" w:rsidRDefault="00065204" w:rsidP="00601E34">
      <w:pPr>
        <w:pStyle w:val="Heading1"/>
        <w:rPr>
          <w:kern w:val="32"/>
        </w:rPr>
      </w:pPr>
    </w:p>
    <w:p w:rsidR="00065204" w:rsidRDefault="00065204" w:rsidP="00601E34">
      <w:pPr>
        <w:pStyle w:val="Heading1"/>
        <w:rPr>
          <w:kern w:val="32"/>
        </w:rPr>
      </w:pPr>
      <w:r>
        <w:rPr>
          <w:kern w:val="32"/>
        </w:rPr>
        <w:br w:type="page"/>
      </w:r>
    </w:p>
    <w:p w:rsidR="00065204" w:rsidRPr="00CB6103" w:rsidRDefault="00065204" w:rsidP="00601E34">
      <w:pPr>
        <w:pStyle w:val="Heading1"/>
        <w:rPr>
          <w:kern w:val="32"/>
        </w:rPr>
      </w:pPr>
      <w:proofErr w:type="gramStart"/>
      <w:r>
        <w:rPr>
          <w:kern w:val="32"/>
        </w:rPr>
        <w:lastRenderedPageBreak/>
        <w:t>Practical Examples and comparisons (static vs.</w:t>
      </w:r>
      <w:proofErr w:type="gramEnd"/>
      <w:r>
        <w:rPr>
          <w:kern w:val="32"/>
        </w:rPr>
        <w:t xml:space="preserve"> seismic)</w:t>
      </w:r>
      <w:bookmarkEnd w:id="3"/>
    </w:p>
    <w:bookmarkEnd w:id="4"/>
    <w:bookmarkEnd w:id="5"/>
    <w:p w:rsidR="00065204" w:rsidRDefault="00065204" w:rsidP="00E317B6">
      <w:pPr>
        <w:jc w:val="both"/>
      </w:pPr>
    </w:p>
    <w:p w:rsidR="00065204" w:rsidRDefault="00065204" w:rsidP="00E317B6">
      <w:pPr>
        <w:jc w:val="both"/>
      </w:pPr>
      <w:r>
        <w:t xml:space="preserve">Practical examples of seismic design of typical geotechnical structures have been discussed. Examples have been worked by different members of EG6 and </w:t>
      </w:r>
      <w:proofErr w:type="gramStart"/>
      <w:r>
        <w:t>comparison between solutions are</w:t>
      </w:r>
      <w:proofErr w:type="gramEnd"/>
      <w:r>
        <w:t xml:space="preserve"> made at the web conferences.  Available examples are the following:</w:t>
      </w:r>
    </w:p>
    <w:p w:rsidR="00065204" w:rsidRDefault="00F02491" w:rsidP="00E317B6">
      <w:pPr>
        <w:pStyle w:val="ListParagraph"/>
        <w:numPr>
          <w:ilvl w:val="0"/>
          <w:numId w:val="36"/>
        </w:numPr>
      </w:pPr>
      <w:r>
        <w:t xml:space="preserve">Footing </w:t>
      </w:r>
    </w:p>
    <w:p w:rsidR="00065204" w:rsidRDefault="00065204" w:rsidP="00E317B6">
      <w:pPr>
        <w:pStyle w:val="ListParagraph"/>
        <w:numPr>
          <w:ilvl w:val="0"/>
          <w:numId w:val="36"/>
        </w:numPr>
      </w:pPr>
      <w:r>
        <w:t xml:space="preserve">Gravity wall </w:t>
      </w:r>
    </w:p>
    <w:p w:rsidR="00F02491" w:rsidRDefault="00065204" w:rsidP="00E317B6">
      <w:pPr>
        <w:pStyle w:val="ListParagraph"/>
        <w:numPr>
          <w:ilvl w:val="0"/>
          <w:numId w:val="36"/>
        </w:numPr>
      </w:pPr>
      <w:r>
        <w:t>Cantilever and propped embedded walls</w:t>
      </w:r>
    </w:p>
    <w:p w:rsidR="00F02491" w:rsidRDefault="00F02491" w:rsidP="00F02491">
      <w:r>
        <w:t>In preparation:</w:t>
      </w:r>
    </w:p>
    <w:p w:rsidR="00065204" w:rsidRDefault="00065204" w:rsidP="00F02491">
      <w:r>
        <w:t>Pile</w:t>
      </w:r>
      <w:r w:rsidR="00F02491">
        <w:t xml:space="preserve"> design example </w:t>
      </w:r>
    </w:p>
    <w:p w:rsidR="00065204" w:rsidRDefault="00F02491" w:rsidP="00E317B6">
      <w:r>
        <w:t>Available e</w:t>
      </w:r>
      <w:r w:rsidR="00065204">
        <w:t xml:space="preserve">xamples are published on the EG6 webpage. </w:t>
      </w:r>
    </w:p>
    <w:p w:rsidR="00065204" w:rsidRDefault="00065204" w:rsidP="00B418E3">
      <w:pPr>
        <w:jc w:val="both"/>
      </w:pPr>
    </w:p>
    <w:p w:rsidR="00065204" w:rsidRDefault="00065204" w:rsidP="002E5BCE">
      <w:pPr>
        <w:pStyle w:val="Heading1"/>
      </w:pPr>
      <w:r>
        <w:rPr>
          <w:kern w:val="32"/>
        </w:rPr>
        <w:br w:type="page"/>
      </w:r>
      <w:r>
        <w:lastRenderedPageBreak/>
        <w:t xml:space="preserve">Which clauses in the current EN 1997-1 and -2 are relevant to your EG's topic of </w:t>
      </w:r>
      <w:proofErr w:type="gramStart"/>
      <w:r>
        <w:t>interest  ?</w:t>
      </w:r>
      <w:proofErr w:type="gramEnd"/>
    </w:p>
    <w:p w:rsidR="00065204" w:rsidRDefault="00065204" w:rsidP="00B418E3">
      <w:pPr>
        <w:jc w:val="both"/>
      </w:pPr>
    </w:p>
    <w:p w:rsidR="00065204" w:rsidRDefault="00065204" w:rsidP="00B418E3">
      <w:pPr>
        <w:jc w:val="both"/>
      </w:pPr>
      <w:r>
        <w:t xml:space="preserve">Clauses concerning seismic geotechnical design are </w:t>
      </w:r>
      <w:r w:rsidRPr="002E5BCE">
        <w:rPr>
          <w:b/>
        </w:rPr>
        <w:t xml:space="preserve">very few in </w:t>
      </w:r>
      <w:r w:rsidR="00D84350">
        <w:rPr>
          <w:b/>
        </w:rPr>
        <w:t>EN 1997</w:t>
      </w:r>
      <w:r w:rsidRPr="002E5BCE">
        <w:rPr>
          <w:b/>
        </w:rPr>
        <w:t>, and only expressed in general terms.</w:t>
      </w:r>
    </w:p>
    <w:p w:rsidR="00065204" w:rsidRDefault="00065204" w:rsidP="00B418E3">
      <w:pPr>
        <w:jc w:val="both"/>
      </w:pPr>
      <w:r>
        <w:t xml:space="preserve">The word “seismic” is </w:t>
      </w:r>
      <w:proofErr w:type="gramStart"/>
      <w:r>
        <w:t>used :</w:t>
      </w:r>
      <w:proofErr w:type="gramEnd"/>
    </w:p>
    <w:p w:rsidR="00065204" w:rsidRPr="006004E5" w:rsidRDefault="00065204" w:rsidP="002E5BCE">
      <w:pPr>
        <w:spacing w:after="0"/>
        <w:jc w:val="both"/>
        <w:rPr>
          <w:u w:val="single"/>
        </w:rPr>
      </w:pPr>
      <w:proofErr w:type="gramStart"/>
      <w:r w:rsidRPr="006004E5">
        <w:rPr>
          <w:u w:val="single"/>
        </w:rPr>
        <w:t>in</w:t>
      </w:r>
      <w:proofErr w:type="gramEnd"/>
      <w:r w:rsidRPr="006004E5">
        <w:rPr>
          <w:u w:val="single"/>
        </w:rPr>
        <w:t xml:space="preserve"> </w:t>
      </w:r>
      <w:r w:rsidR="00D84350">
        <w:rPr>
          <w:u w:val="single"/>
        </w:rPr>
        <w:t>EN 1997</w:t>
      </w:r>
      <w:r>
        <w:rPr>
          <w:u w:val="single"/>
        </w:rPr>
        <w:t xml:space="preserve"> part 1</w:t>
      </w:r>
    </w:p>
    <w:p w:rsidR="00065204" w:rsidRDefault="00065204" w:rsidP="002E5BCE">
      <w:pPr>
        <w:spacing w:after="0"/>
        <w:jc w:val="both"/>
      </w:pPr>
      <w:r>
        <w:t>1.1.1</w:t>
      </w:r>
      <w:r>
        <w:tab/>
      </w:r>
      <w:proofErr w:type="gramStart"/>
      <w:r>
        <w:t>to</w:t>
      </w:r>
      <w:proofErr w:type="gramEnd"/>
      <w:r>
        <w:t xml:space="preserve"> make clear that special provisions for seismic geotechnical design  are in  </w:t>
      </w:r>
      <w:r w:rsidR="00D84350">
        <w:t>EN 1998</w:t>
      </w:r>
      <w:r>
        <w:t xml:space="preserve"> only;</w:t>
      </w:r>
    </w:p>
    <w:p w:rsidR="00065204" w:rsidRDefault="00065204" w:rsidP="002E5BCE">
      <w:pPr>
        <w:spacing w:after="0"/>
        <w:jc w:val="both"/>
      </w:pPr>
      <w:r>
        <w:t>2.2</w:t>
      </w:r>
      <w:r>
        <w:tab/>
      </w:r>
      <w:proofErr w:type="gramStart"/>
      <w:r>
        <w:t>to</w:t>
      </w:r>
      <w:proofErr w:type="gramEnd"/>
      <w:r>
        <w:t xml:space="preserve"> include regional seismicity in design requirements;</w:t>
      </w:r>
    </w:p>
    <w:p w:rsidR="00065204" w:rsidRDefault="00065204" w:rsidP="002E5BCE">
      <w:pPr>
        <w:spacing w:after="0"/>
        <w:jc w:val="both"/>
      </w:pPr>
      <w:r>
        <w:t>3.1</w:t>
      </w:r>
      <w:r>
        <w:tab/>
      </w:r>
      <w:proofErr w:type="gramStart"/>
      <w:r>
        <w:t>to</w:t>
      </w:r>
      <w:proofErr w:type="gramEnd"/>
      <w:r>
        <w:t xml:space="preserve"> consider seismicity when planning site investigation;</w:t>
      </w:r>
    </w:p>
    <w:p w:rsidR="00065204" w:rsidRDefault="00065204" w:rsidP="002E5BCE">
      <w:pPr>
        <w:spacing w:after="0"/>
        <w:jc w:val="both"/>
      </w:pPr>
      <w:r>
        <w:t xml:space="preserve">3.4.2 </w:t>
      </w:r>
      <w:r>
        <w:tab/>
      </w:r>
      <w:proofErr w:type="gramStart"/>
      <w:r>
        <w:t>to</w:t>
      </w:r>
      <w:proofErr w:type="gramEnd"/>
      <w:r>
        <w:t xml:space="preserve"> include information on seismicity when preparing the site investigation report; </w:t>
      </w:r>
    </w:p>
    <w:p w:rsidR="00065204" w:rsidRDefault="00065204" w:rsidP="002E5BCE">
      <w:pPr>
        <w:spacing w:after="0"/>
        <w:jc w:val="both"/>
      </w:pPr>
      <w:r>
        <w:t>7.3.2.4</w:t>
      </w:r>
      <w:r>
        <w:tab/>
      </w:r>
      <w:proofErr w:type="gramStart"/>
      <w:r>
        <w:t>to</w:t>
      </w:r>
      <w:proofErr w:type="gramEnd"/>
      <w:r>
        <w:t xml:space="preserve"> consider transverse loading on piles for seismic areas.</w:t>
      </w:r>
    </w:p>
    <w:p w:rsidR="00065204" w:rsidRPr="00462A65" w:rsidRDefault="00462A65" w:rsidP="002E5BCE">
      <w:pPr>
        <w:spacing w:after="0"/>
        <w:jc w:val="both"/>
      </w:pPr>
      <w:r>
        <w:t>Also, t</w:t>
      </w:r>
      <w:r w:rsidRPr="00462A65">
        <w:t xml:space="preserve">he word </w:t>
      </w:r>
      <w:r>
        <w:t>“</w:t>
      </w:r>
      <w:r w:rsidRPr="00462A65">
        <w:t>earthquake</w:t>
      </w:r>
      <w:r>
        <w:t>”</w:t>
      </w:r>
      <w:r w:rsidRPr="00462A65">
        <w:t xml:space="preserve"> is used in clauses 2.2; 2.4.2; 6.6.4; 7.3.2.1</w:t>
      </w:r>
    </w:p>
    <w:p w:rsidR="00082754" w:rsidRDefault="00082754" w:rsidP="002E5BCE">
      <w:pPr>
        <w:spacing w:after="0"/>
        <w:jc w:val="both"/>
        <w:rPr>
          <w:u w:val="single"/>
        </w:rPr>
      </w:pPr>
    </w:p>
    <w:p w:rsidR="00065204" w:rsidRDefault="00065204" w:rsidP="002E5BCE">
      <w:pPr>
        <w:spacing w:after="0"/>
        <w:jc w:val="both"/>
        <w:rPr>
          <w:u w:val="single"/>
        </w:rPr>
      </w:pPr>
      <w:proofErr w:type="gramStart"/>
      <w:r w:rsidRPr="006004E5">
        <w:rPr>
          <w:u w:val="single"/>
        </w:rPr>
        <w:t>in</w:t>
      </w:r>
      <w:proofErr w:type="gramEnd"/>
      <w:r w:rsidRPr="006004E5">
        <w:rPr>
          <w:u w:val="single"/>
        </w:rPr>
        <w:t xml:space="preserve"> </w:t>
      </w:r>
      <w:r w:rsidR="00D84350">
        <w:rPr>
          <w:u w:val="single"/>
        </w:rPr>
        <w:t>EN 1997</w:t>
      </w:r>
      <w:r w:rsidRPr="006004E5">
        <w:rPr>
          <w:u w:val="single"/>
        </w:rPr>
        <w:t xml:space="preserve"> part 2</w:t>
      </w:r>
    </w:p>
    <w:p w:rsidR="00065204" w:rsidRDefault="00065204" w:rsidP="002E5BCE">
      <w:pPr>
        <w:pStyle w:val="ListParagraph"/>
        <w:numPr>
          <w:ilvl w:val="2"/>
          <w:numId w:val="34"/>
        </w:numPr>
        <w:spacing w:after="0"/>
        <w:jc w:val="both"/>
      </w:pPr>
      <w:r>
        <w:t xml:space="preserve">(7) to make clear that special provisions for seismic geotechnical design  are in  </w:t>
      </w:r>
      <w:r w:rsidR="00D84350">
        <w:t>EN 1998</w:t>
      </w:r>
      <w:r>
        <w:t xml:space="preserve"> only;</w:t>
      </w:r>
    </w:p>
    <w:p w:rsidR="00065204" w:rsidRDefault="00065204" w:rsidP="002E5BCE">
      <w:pPr>
        <w:spacing w:after="0"/>
        <w:jc w:val="both"/>
      </w:pPr>
      <w:r>
        <w:t xml:space="preserve">2.1.1 </w:t>
      </w:r>
      <w:r>
        <w:tab/>
        <w:t>(3) to include seismicity between objectives of the ground investigation;</w:t>
      </w:r>
    </w:p>
    <w:p w:rsidR="00065204" w:rsidRDefault="00065204" w:rsidP="002E5BCE">
      <w:pPr>
        <w:spacing w:after="0"/>
        <w:jc w:val="both"/>
      </w:pPr>
      <w:r>
        <w:t>6.2</w:t>
      </w:r>
      <w:r>
        <w:tab/>
        <w:t xml:space="preserve">to </w:t>
      </w:r>
      <w:proofErr w:type="gramStart"/>
      <w:r>
        <w:t>include  seismicity</w:t>
      </w:r>
      <w:proofErr w:type="gramEnd"/>
      <w:r>
        <w:t xml:space="preserve"> of the area in the ground investigation report.</w:t>
      </w:r>
    </w:p>
    <w:p w:rsidR="00065204" w:rsidRDefault="00065204" w:rsidP="002E5BCE">
      <w:pPr>
        <w:pStyle w:val="Heading1"/>
        <w:rPr>
          <w:smallCaps w:val="0"/>
          <w:spacing w:val="0"/>
          <w:sz w:val="22"/>
          <w:szCs w:val="22"/>
        </w:rPr>
      </w:pPr>
      <w:r>
        <w:rPr>
          <w:smallCaps w:val="0"/>
          <w:spacing w:val="0"/>
          <w:sz w:val="22"/>
          <w:szCs w:val="22"/>
        </w:rPr>
        <w:br w:type="page"/>
      </w:r>
    </w:p>
    <w:p w:rsidR="00065204" w:rsidRDefault="00065204" w:rsidP="002E5BCE">
      <w:pPr>
        <w:pStyle w:val="Heading1"/>
      </w:pPr>
      <w:r>
        <w:lastRenderedPageBreak/>
        <w:t xml:space="preserve">Which of those clauses should remain unchanged in the next edition of Eurocode </w:t>
      </w:r>
      <w:proofErr w:type="gramStart"/>
      <w:r>
        <w:t>7  ?</w:t>
      </w:r>
      <w:proofErr w:type="gramEnd"/>
    </w:p>
    <w:p w:rsidR="00065204" w:rsidRDefault="00065204" w:rsidP="00B418E3">
      <w:pPr>
        <w:jc w:val="both"/>
      </w:pPr>
    </w:p>
    <w:p w:rsidR="00065204" w:rsidRDefault="00065204" w:rsidP="00B418E3">
      <w:pPr>
        <w:jc w:val="both"/>
      </w:pPr>
      <w:r>
        <w:t>The above clauses are far too general and do not appear particularly useful for geotechnical seismic design.</w:t>
      </w:r>
    </w:p>
    <w:p w:rsidR="00065204" w:rsidRPr="00A34ACB" w:rsidRDefault="00065204" w:rsidP="00A34ACB">
      <w:pPr>
        <w:jc w:val="both"/>
      </w:pPr>
      <w:r>
        <w:t xml:space="preserve">Instead, EG6 has indicated few </w:t>
      </w:r>
      <w:r w:rsidRPr="00CD4748">
        <w:rPr>
          <w:b/>
        </w:rPr>
        <w:t>design principles</w:t>
      </w:r>
      <w:r>
        <w:t xml:space="preserve"> according to which the </w:t>
      </w:r>
      <w:r w:rsidRPr="00CD4748">
        <w:t xml:space="preserve">revision of </w:t>
      </w:r>
      <w:r w:rsidR="00D84350">
        <w:t>EN 1997</w:t>
      </w:r>
      <w:r w:rsidRPr="00CD4748">
        <w:t xml:space="preserve">, jointly with the revision of the relevant parts of </w:t>
      </w:r>
      <w:r w:rsidR="00D84350">
        <w:t>EN 1998</w:t>
      </w:r>
      <w:r w:rsidRPr="00CD4748">
        <w:t>,</w:t>
      </w:r>
      <w:r>
        <w:t xml:space="preserve"> should be developed.</w:t>
      </w:r>
    </w:p>
    <w:p w:rsidR="00065204" w:rsidRDefault="00065204" w:rsidP="00A34ACB">
      <w:pPr>
        <w:rPr>
          <w:b/>
        </w:rPr>
      </w:pPr>
    </w:p>
    <w:p w:rsidR="00065204" w:rsidRPr="003B2C0E" w:rsidRDefault="00065204" w:rsidP="00A34ACB">
      <w:pPr>
        <w:rPr>
          <w:b/>
          <w:sz w:val="28"/>
          <w:szCs w:val="28"/>
        </w:rPr>
      </w:pPr>
      <w:r w:rsidRPr="003B2C0E">
        <w:rPr>
          <w:b/>
          <w:sz w:val="28"/>
          <w:szCs w:val="28"/>
        </w:rPr>
        <w:t>DESIGN PRINCIPLES</w:t>
      </w:r>
    </w:p>
    <w:p w:rsidR="00065204" w:rsidRPr="002E5BCE" w:rsidRDefault="00065204" w:rsidP="00A34ACB">
      <w:pPr>
        <w:pStyle w:val="ListParagraph"/>
        <w:numPr>
          <w:ilvl w:val="0"/>
          <w:numId w:val="37"/>
        </w:numPr>
        <w:jc w:val="both"/>
      </w:pPr>
      <w:r w:rsidRPr="002E5BCE">
        <w:t>The seismic design of a geotechnical structure should be conceived according to the principles of safety and economical sustainability;</w:t>
      </w:r>
    </w:p>
    <w:p w:rsidR="00065204" w:rsidRPr="002E5BCE" w:rsidRDefault="00065204" w:rsidP="00A34ACB">
      <w:pPr>
        <w:pStyle w:val="ListParagraph"/>
        <w:numPr>
          <w:ilvl w:val="0"/>
          <w:numId w:val="37"/>
        </w:numPr>
        <w:jc w:val="both"/>
      </w:pPr>
      <w:r w:rsidRPr="002E5BCE">
        <w:t xml:space="preserve">Design of foundations and of earth retaining structures is a unique process to be accomplished by considering all the possible boundary (e.g. loading) and environmental (e.g. seismicity) conditions </w:t>
      </w:r>
      <w:r w:rsidRPr="00CD4748">
        <w:rPr>
          <w:b/>
        </w:rPr>
        <w:t>since the very beginning</w:t>
      </w:r>
      <w:r w:rsidRPr="002E5BCE">
        <w:t xml:space="preserve"> of the design process; </w:t>
      </w:r>
    </w:p>
    <w:p w:rsidR="00065204" w:rsidRPr="002E5BCE" w:rsidRDefault="00065204" w:rsidP="00A34ACB">
      <w:pPr>
        <w:pStyle w:val="ListParagraph"/>
        <w:numPr>
          <w:ilvl w:val="0"/>
          <w:numId w:val="37"/>
        </w:numPr>
        <w:jc w:val="both"/>
      </w:pPr>
      <w:r w:rsidRPr="002E5BCE">
        <w:t xml:space="preserve">Recommended design procedures must ensure a </w:t>
      </w:r>
      <w:r w:rsidRPr="00CD4748">
        <w:rPr>
          <w:b/>
        </w:rPr>
        <w:t>smooth transition</w:t>
      </w:r>
      <w:r w:rsidRPr="002E5BCE">
        <w:t xml:space="preserve"> between static and seismic designs. </w:t>
      </w:r>
    </w:p>
    <w:p w:rsidR="00065204" w:rsidRPr="003F5210" w:rsidRDefault="00065204" w:rsidP="00A34ACB">
      <w:pPr>
        <w:pStyle w:val="ListParagraph"/>
        <w:rPr>
          <w:i/>
        </w:rPr>
      </w:pPr>
    </w:p>
    <w:p w:rsidR="00065204" w:rsidRPr="002E5BCE" w:rsidRDefault="00065204" w:rsidP="002E5BCE">
      <w:pPr>
        <w:rPr>
          <w:b/>
        </w:rPr>
      </w:pPr>
      <w:r>
        <w:rPr>
          <w:b/>
        </w:rPr>
        <w:br w:type="page"/>
      </w:r>
      <w:proofErr w:type="gramStart"/>
      <w:r>
        <w:rPr>
          <w:b/>
        </w:rPr>
        <w:lastRenderedPageBreak/>
        <w:t xml:space="preserve">SUGGESTIONS </w:t>
      </w:r>
      <w:r w:rsidRPr="002E5BCE">
        <w:rPr>
          <w:b/>
        </w:rPr>
        <w:t xml:space="preserve"> TO</w:t>
      </w:r>
      <w:proofErr w:type="gramEnd"/>
      <w:r w:rsidRPr="002E5BCE">
        <w:rPr>
          <w:b/>
        </w:rPr>
        <w:t xml:space="preserve"> ACCOMPLISH THE ABOVE PRINCIPLES </w:t>
      </w:r>
    </w:p>
    <w:p w:rsidR="00065204" w:rsidRDefault="00065204" w:rsidP="004B0F55">
      <w:pPr>
        <w:pStyle w:val="ListParagraph"/>
        <w:ind w:left="0"/>
        <w:jc w:val="both"/>
      </w:pPr>
      <w:r w:rsidRPr="002E5BCE">
        <w:t xml:space="preserve">The transfer of action effects to the </w:t>
      </w:r>
      <w:proofErr w:type="gramStart"/>
      <w:r w:rsidRPr="002E5BCE">
        <w:t>ground  should</w:t>
      </w:r>
      <w:proofErr w:type="gramEnd"/>
      <w:r w:rsidRPr="002E5BCE">
        <w:t xml:space="preserve"> consider the possibility of </w:t>
      </w:r>
      <w:r w:rsidRPr="003B2C0E">
        <w:rPr>
          <w:b/>
        </w:rPr>
        <w:t xml:space="preserve">permanent </w:t>
      </w:r>
      <w:r>
        <w:rPr>
          <w:b/>
        </w:rPr>
        <w:t>displacements</w:t>
      </w:r>
      <w:r>
        <w:t xml:space="preserve"> of foundations and </w:t>
      </w:r>
      <w:r w:rsidRPr="002E5BCE">
        <w:t xml:space="preserve">retaining structures, </w:t>
      </w:r>
      <w:r>
        <w:t>and dissipation mechanism in the ground</w:t>
      </w:r>
    </w:p>
    <w:p w:rsidR="00065204" w:rsidRPr="002E5BCE" w:rsidRDefault="00065204" w:rsidP="004B0F55">
      <w:pPr>
        <w:pStyle w:val="ListParagraph"/>
        <w:ind w:left="360"/>
        <w:jc w:val="both"/>
      </w:pPr>
    </w:p>
    <w:p w:rsidR="00065204" w:rsidRDefault="00065204" w:rsidP="004B0F55">
      <w:pPr>
        <w:pStyle w:val="ListParagraph"/>
        <w:ind w:left="0"/>
        <w:jc w:val="both"/>
      </w:pPr>
      <w:r>
        <w:t>M</w:t>
      </w:r>
      <w:r w:rsidRPr="002E5BCE">
        <w:t>ore emphasis is needed in E</w:t>
      </w:r>
      <w:r w:rsidR="00160B81">
        <w:t>N 199</w:t>
      </w:r>
      <w:r w:rsidRPr="002E5BCE">
        <w:t>7_E</w:t>
      </w:r>
      <w:r w:rsidR="00160B81">
        <w:t>N 199</w:t>
      </w:r>
      <w:r w:rsidRPr="002E5BCE">
        <w:t xml:space="preserve">8 to </w:t>
      </w:r>
      <w:r>
        <w:t>a</w:t>
      </w:r>
      <w:r w:rsidRPr="002E5BCE">
        <w:t>ssess seismic-dynamic properties of the ground;</w:t>
      </w:r>
      <w:r>
        <w:t xml:space="preserve"> </w:t>
      </w:r>
      <w:r>
        <w:rPr>
          <w:b/>
        </w:rPr>
        <w:t>g</w:t>
      </w:r>
      <w:r w:rsidRPr="00B44E0F">
        <w:rPr>
          <w:b/>
        </w:rPr>
        <w:t>round investigation and testing</w:t>
      </w:r>
      <w:r>
        <w:t xml:space="preserve">, currently covered in </w:t>
      </w:r>
      <w:r w:rsidR="00160B81">
        <w:t>EN 1997</w:t>
      </w:r>
      <w:r>
        <w:t xml:space="preserve">-2, </w:t>
      </w:r>
      <w:r w:rsidRPr="002E5BCE">
        <w:t xml:space="preserve">must </w:t>
      </w:r>
      <w:r>
        <w:t xml:space="preserve">include </w:t>
      </w:r>
      <w:r w:rsidRPr="002E5BCE">
        <w:t>seismic issues</w:t>
      </w:r>
      <w:r>
        <w:t xml:space="preserve"> (e.g.: geo-physical methods of investigations, lab and field dynamic testing)</w:t>
      </w:r>
    </w:p>
    <w:p w:rsidR="00065204" w:rsidRPr="002E5BCE" w:rsidRDefault="00065204" w:rsidP="004B0F55">
      <w:pPr>
        <w:pStyle w:val="ListParagraph"/>
        <w:ind w:left="360"/>
        <w:jc w:val="both"/>
      </w:pPr>
    </w:p>
    <w:p w:rsidR="00065204" w:rsidRDefault="00065204" w:rsidP="004B0F55">
      <w:pPr>
        <w:pStyle w:val="ListParagraph"/>
        <w:ind w:left="0"/>
        <w:jc w:val="both"/>
      </w:pPr>
      <w:r w:rsidRPr="002E5BCE">
        <w:t>E</w:t>
      </w:r>
      <w:r w:rsidR="00160B81">
        <w:t>N 199</w:t>
      </w:r>
      <w:r w:rsidRPr="002E5BCE">
        <w:t>8</w:t>
      </w:r>
      <w:r>
        <w:t>-</w:t>
      </w:r>
      <w:r w:rsidRPr="002E5BCE">
        <w:t xml:space="preserve">5 does not adopt explicitly, for seismic design, any </w:t>
      </w:r>
      <w:proofErr w:type="gramStart"/>
      <w:r w:rsidRPr="002E5BCE">
        <w:t>of  the</w:t>
      </w:r>
      <w:proofErr w:type="gramEnd"/>
      <w:r w:rsidRPr="002E5BCE">
        <w:t xml:space="preserve"> Design Approaches given in E</w:t>
      </w:r>
      <w:r w:rsidR="00160B81">
        <w:t>N199</w:t>
      </w:r>
      <w:r w:rsidRPr="002E5BCE">
        <w:t xml:space="preserve">7. Nevertheless, partial factors on geotechnical parameters are suggested, apparently referring to </w:t>
      </w:r>
      <w:r w:rsidR="004B5795">
        <w:rPr>
          <w:b/>
        </w:rPr>
        <w:t>Material Factor Approach</w:t>
      </w:r>
      <w:r w:rsidRPr="002E5BCE">
        <w:t>, whereas most of the European countries are now orienting themse</w:t>
      </w:r>
      <w:r>
        <w:t xml:space="preserve">lves towards </w:t>
      </w:r>
      <w:r w:rsidR="004B5795" w:rsidRPr="004B5795">
        <w:rPr>
          <w:b/>
        </w:rPr>
        <w:t>Load and Resistance Factor Approach</w:t>
      </w:r>
      <w:r>
        <w:t>;</w:t>
      </w:r>
    </w:p>
    <w:p w:rsidR="00065204" w:rsidRPr="002E5BCE" w:rsidRDefault="00065204" w:rsidP="004B0F55">
      <w:pPr>
        <w:pStyle w:val="ListParagraph"/>
        <w:ind w:left="0"/>
        <w:jc w:val="both"/>
      </w:pPr>
      <w:r w:rsidRPr="002E5BCE">
        <w:t xml:space="preserve"> </w:t>
      </w:r>
    </w:p>
    <w:p w:rsidR="00065204" w:rsidRPr="002E5BCE" w:rsidRDefault="00065204" w:rsidP="004B0F55">
      <w:pPr>
        <w:pStyle w:val="ListParagraph"/>
        <w:ind w:left="0"/>
        <w:jc w:val="both"/>
      </w:pPr>
      <w:r w:rsidRPr="002E5BCE">
        <w:t xml:space="preserve">The use of </w:t>
      </w:r>
      <w:r w:rsidRPr="002E5BCE">
        <w:rPr>
          <w:u w:val="single"/>
        </w:rPr>
        <w:t>Material Factor Approach</w:t>
      </w:r>
      <w:r w:rsidRPr="002E5BCE">
        <w:t xml:space="preserve"> for ULS verification with seismic loadings and </w:t>
      </w:r>
      <w:proofErr w:type="spellStart"/>
      <w:r w:rsidRPr="002E5BCE">
        <w:t>pseudostatic</w:t>
      </w:r>
      <w:proofErr w:type="spellEnd"/>
      <w:r w:rsidRPr="002E5BCE">
        <w:t xml:space="preserve"> analysis should be carefully discussed: </w:t>
      </w:r>
    </w:p>
    <w:p w:rsidR="00065204" w:rsidRDefault="00065204" w:rsidP="004B0F55">
      <w:pPr>
        <w:pStyle w:val="ListParagraph"/>
        <w:numPr>
          <w:ilvl w:val="1"/>
          <w:numId w:val="37"/>
        </w:numPr>
        <w:ind w:left="567"/>
        <w:jc w:val="both"/>
      </w:pPr>
      <w:r w:rsidRPr="002E5BCE">
        <w:t>partial factors for material properties for seismic geotechnical design could well be lower</w:t>
      </w:r>
      <w:r>
        <w:t xml:space="preserve"> than those for the static case</w:t>
      </w:r>
      <w:r w:rsidRPr="002E5BCE">
        <w:t xml:space="preserve">; this possibility is never mentioned explicitly in </w:t>
      </w:r>
      <w:r w:rsidR="00D84350">
        <w:t>EN 1998</w:t>
      </w:r>
      <w:r>
        <w:t>-</w:t>
      </w:r>
      <w:r w:rsidRPr="002E5BCE">
        <w:t xml:space="preserve">5 and </w:t>
      </w:r>
      <w:r w:rsidRPr="00B44E0F">
        <w:t>recommended</w:t>
      </w:r>
      <w:r w:rsidRPr="003B2C0E">
        <w:rPr>
          <w:b/>
        </w:rPr>
        <w:t xml:space="preserve"> seismic values are equal to the static ones</w:t>
      </w:r>
      <w:r>
        <w:t xml:space="preserve"> (3.1 (3)  NOTE)</w:t>
      </w:r>
    </w:p>
    <w:p w:rsidR="00065204" w:rsidRPr="002E5BCE" w:rsidRDefault="00065204" w:rsidP="004B0F55">
      <w:pPr>
        <w:pStyle w:val="ListParagraph"/>
        <w:ind w:left="1080"/>
        <w:jc w:val="both"/>
      </w:pPr>
    </w:p>
    <w:p w:rsidR="00065204" w:rsidRDefault="00065204" w:rsidP="004B0F55">
      <w:pPr>
        <w:pStyle w:val="ListParagraph"/>
        <w:ind w:left="0"/>
        <w:jc w:val="both"/>
      </w:pPr>
      <w:r w:rsidRPr="002E5BCE">
        <w:t xml:space="preserve">For obvious reasons it will be </w:t>
      </w:r>
      <w:r w:rsidRPr="00406E4F">
        <w:t>difficult for a Country</w:t>
      </w:r>
      <w:r w:rsidRPr="002E5BCE">
        <w:t xml:space="preserve"> to adopt partial factors on material properties lower than those recommended, even if this possibility is not excluded by </w:t>
      </w:r>
      <w:r w:rsidR="00D84350">
        <w:t>EN 1998</w:t>
      </w:r>
      <w:r>
        <w:t>-</w:t>
      </w:r>
      <w:r w:rsidRPr="002E5BCE">
        <w:t>5; it would be better to eliminate the recommended values</w:t>
      </w:r>
      <w:r>
        <w:t xml:space="preserve"> in </w:t>
      </w:r>
      <w:r w:rsidR="00D84350">
        <w:t>EN 1998</w:t>
      </w:r>
      <w:r>
        <w:t>-5.</w:t>
      </w:r>
    </w:p>
    <w:p w:rsidR="00065204" w:rsidRPr="002E5BCE" w:rsidRDefault="00065204" w:rsidP="004B0F55">
      <w:pPr>
        <w:pStyle w:val="ListParagraph"/>
        <w:ind w:left="360"/>
        <w:jc w:val="both"/>
      </w:pPr>
    </w:p>
    <w:p w:rsidR="00065204" w:rsidRPr="002E5BCE" w:rsidRDefault="00065204" w:rsidP="004B0F55">
      <w:pPr>
        <w:pStyle w:val="ListParagraph"/>
        <w:ind w:left="0"/>
        <w:jc w:val="both"/>
      </w:pPr>
      <w:r w:rsidRPr="002E5BCE">
        <w:t>Suggest new design procedures for the seismic case  based on the “</w:t>
      </w:r>
      <w:r w:rsidRPr="003B2C0E">
        <w:rPr>
          <w:b/>
        </w:rPr>
        <w:t>performance based design</w:t>
      </w:r>
      <w:r w:rsidRPr="002E5BCE">
        <w:t xml:space="preserve">” concept; such procedures aim at evaluating the seismic performance of geotechnical structures </w:t>
      </w:r>
      <w:r>
        <w:t>initially</w:t>
      </w:r>
      <w:r w:rsidRPr="002E5BCE">
        <w:t xml:space="preserve"> designed for static loadings</w:t>
      </w:r>
      <w:r>
        <w:t xml:space="preserve"> (permanent displacements,</w:t>
      </w:r>
      <w:r w:rsidRPr="002E5BCE">
        <w:t xml:space="preserve"> structural capacity strictly needed</w:t>
      </w:r>
      <w:r>
        <w:t>)</w:t>
      </w:r>
      <w:r w:rsidRPr="002E5BCE">
        <w:t xml:space="preserve">; a </w:t>
      </w:r>
      <w:r w:rsidR="004B5795" w:rsidRPr="00C03D6C">
        <w:t xml:space="preserve">Loads and </w:t>
      </w:r>
      <w:r w:rsidRPr="00C03D6C">
        <w:t>Resistance Factor Approach</w:t>
      </w:r>
      <w:r w:rsidRPr="002E5BCE">
        <w:t xml:space="preserve"> in this case </w:t>
      </w:r>
      <w:r>
        <w:t xml:space="preserve">could </w:t>
      </w:r>
      <w:r w:rsidRPr="002E5BCE">
        <w:t xml:space="preserve">be </w:t>
      </w:r>
      <w:r>
        <w:t>used to introduce safety</w:t>
      </w:r>
      <w:r w:rsidRPr="002E5BCE">
        <w:t>.</w:t>
      </w:r>
    </w:p>
    <w:p w:rsidR="00065204" w:rsidRDefault="00065204" w:rsidP="00B418E3">
      <w:pPr>
        <w:jc w:val="both"/>
      </w:pPr>
    </w:p>
    <w:p w:rsidR="00082754" w:rsidRDefault="00065204" w:rsidP="00E151E2">
      <w:pPr>
        <w:spacing w:after="0" w:line="240" w:lineRule="auto"/>
        <w:jc w:val="both"/>
        <w:rPr>
          <w:kern w:val="32"/>
        </w:rPr>
      </w:pPr>
      <w:r>
        <w:rPr>
          <w:kern w:val="32"/>
        </w:rPr>
        <w:br w:type="page"/>
      </w:r>
      <w:r w:rsidR="00E151E2">
        <w:rPr>
          <w:kern w:val="32"/>
        </w:rPr>
        <w:lastRenderedPageBreak/>
        <w:t>T</w:t>
      </w:r>
      <w:r w:rsidR="00E151E2" w:rsidRPr="00481A64">
        <w:rPr>
          <w:rStyle w:val="Strong"/>
        </w:rPr>
        <w:t xml:space="preserve">HE FOLLOWING SUGGESTIONS </w:t>
      </w:r>
      <w:r w:rsidR="00E151E2">
        <w:rPr>
          <w:rStyle w:val="Strong"/>
        </w:rPr>
        <w:t>ARE</w:t>
      </w:r>
      <w:r w:rsidR="00E151E2" w:rsidRPr="00481A64">
        <w:rPr>
          <w:rStyle w:val="Strong"/>
        </w:rPr>
        <w:t xml:space="preserve"> </w:t>
      </w:r>
      <w:r w:rsidR="00E151E2">
        <w:rPr>
          <w:rStyle w:val="Strong"/>
        </w:rPr>
        <w:t>CONSIDERED FOR POSSIBLE IMPLEMENTATION IN EN 1997</w:t>
      </w:r>
      <w:r w:rsidR="00E151E2">
        <w:rPr>
          <w:kern w:val="32"/>
        </w:rPr>
        <w:t>:</w:t>
      </w:r>
    </w:p>
    <w:p w:rsidR="000D2C62" w:rsidRDefault="000D2C62">
      <w:pPr>
        <w:spacing w:after="0" w:line="240" w:lineRule="auto"/>
        <w:rPr>
          <w:kern w:val="32"/>
        </w:rPr>
      </w:pPr>
    </w:p>
    <w:p w:rsidR="00082754" w:rsidRPr="007F5631" w:rsidRDefault="00082754" w:rsidP="007F5631">
      <w:pPr>
        <w:spacing w:after="0" w:line="240" w:lineRule="auto"/>
        <w:rPr>
          <w:b/>
          <w:kern w:val="32"/>
        </w:rPr>
      </w:pPr>
      <w:r w:rsidRPr="007F5631">
        <w:rPr>
          <w:b/>
          <w:kern w:val="32"/>
        </w:rPr>
        <w:t>Clauses 2.1 Design requirements</w:t>
      </w:r>
    </w:p>
    <w:p w:rsidR="00010385" w:rsidRDefault="00082754" w:rsidP="00A0571D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kern w:val="32"/>
        </w:rPr>
      </w:pPr>
      <w:r w:rsidRPr="00010385">
        <w:rPr>
          <w:kern w:val="32"/>
        </w:rPr>
        <w:t xml:space="preserve">The pseudo static calculation model should be included in the verification procedures by partial factors. </w:t>
      </w:r>
    </w:p>
    <w:p w:rsidR="000D2C62" w:rsidRPr="00010385" w:rsidRDefault="00082754" w:rsidP="00A0571D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kern w:val="32"/>
        </w:rPr>
      </w:pPr>
      <w:r w:rsidRPr="00010385">
        <w:rPr>
          <w:kern w:val="32"/>
        </w:rPr>
        <w:t xml:space="preserve">The complete set of partial factors (model, actions, material or resistances) should be </w:t>
      </w:r>
      <w:r w:rsidR="000D2C62" w:rsidRPr="00010385">
        <w:rPr>
          <w:kern w:val="32"/>
        </w:rPr>
        <w:t>presented in appropriate tables</w:t>
      </w:r>
      <w:r w:rsidR="00A0571D" w:rsidRPr="00010385">
        <w:rPr>
          <w:kern w:val="32"/>
        </w:rPr>
        <w:t>; the same tables</w:t>
      </w:r>
      <w:r w:rsidR="000D2C62" w:rsidRPr="00010385">
        <w:rPr>
          <w:kern w:val="32"/>
        </w:rPr>
        <w:t xml:space="preserve"> must </w:t>
      </w:r>
      <w:r w:rsidR="00A0571D" w:rsidRPr="00010385">
        <w:rPr>
          <w:kern w:val="32"/>
        </w:rPr>
        <w:t xml:space="preserve">also </w:t>
      </w:r>
      <w:r w:rsidR="000D2C62" w:rsidRPr="00010385">
        <w:rPr>
          <w:kern w:val="32"/>
        </w:rPr>
        <w:t>be included in E</w:t>
      </w:r>
      <w:r w:rsidR="00A0571D" w:rsidRPr="00010385">
        <w:rPr>
          <w:kern w:val="32"/>
        </w:rPr>
        <w:t>N 1998</w:t>
      </w:r>
      <w:r w:rsidR="000D2C62" w:rsidRPr="00010385">
        <w:rPr>
          <w:kern w:val="32"/>
        </w:rPr>
        <w:t>-5.</w:t>
      </w:r>
    </w:p>
    <w:p w:rsidR="002675D5" w:rsidRDefault="002675D5" w:rsidP="00A0571D">
      <w:pPr>
        <w:spacing w:after="0" w:line="240" w:lineRule="auto"/>
        <w:jc w:val="both"/>
        <w:rPr>
          <w:kern w:val="32"/>
        </w:rPr>
      </w:pPr>
    </w:p>
    <w:p w:rsidR="000D2C62" w:rsidRPr="007F5631" w:rsidRDefault="000D2C62" w:rsidP="00A0571D">
      <w:pPr>
        <w:spacing w:after="0" w:line="240" w:lineRule="auto"/>
        <w:jc w:val="both"/>
        <w:rPr>
          <w:b/>
          <w:smallCaps/>
          <w:spacing w:val="5"/>
          <w:kern w:val="32"/>
          <w:sz w:val="36"/>
          <w:szCs w:val="36"/>
        </w:rPr>
      </w:pPr>
      <w:r w:rsidRPr="007F5631">
        <w:rPr>
          <w:b/>
          <w:kern w:val="32"/>
        </w:rPr>
        <w:t>Clauses 2.2 Design situations</w:t>
      </w:r>
    </w:p>
    <w:p w:rsidR="007F5631" w:rsidRDefault="00AB127F" w:rsidP="00A0571D">
      <w:pPr>
        <w:spacing w:after="0" w:line="240" w:lineRule="auto"/>
        <w:jc w:val="both"/>
        <w:rPr>
          <w:kern w:val="32"/>
        </w:rPr>
      </w:pPr>
      <w:r>
        <w:rPr>
          <w:kern w:val="32"/>
        </w:rPr>
        <w:t xml:space="preserve">Geotechnical design considering earthquake would better </w:t>
      </w:r>
      <w:r w:rsidR="008C21CE">
        <w:rPr>
          <w:kern w:val="32"/>
        </w:rPr>
        <w:t>use</w:t>
      </w:r>
      <w:r>
        <w:rPr>
          <w:kern w:val="32"/>
        </w:rPr>
        <w:t xml:space="preserve"> drained and undrained conditions instead of long term and short term as in 2.2 (1) of </w:t>
      </w:r>
      <w:r w:rsidR="00D84350">
        <w:rPr>
          <w:kern w:val="32"/>
        </w:rPr>
        <w:t>EN 1997</w:t>
      </w:r>
      <w:r w:rsidR="00481A64">
        <w:rPr>
          <w:kern w:val="32"/>
        </w:rPr>
        <w:t>.</w:t>
      </w:r>
    </w:p>
    <w:p w:rsidR="00A0571D" w:rsidRDefault="00A0571D" w:rsidP="00A0571D">
      <w:pPr>
        <w:spacing w:after="0" w:line="240" w:lineRule="auto"/>
        <w:jc w:val="both"/>
        <w:rPr>
          <w:kern w:val="32"/>
        </w:rPr>
      </w:pPr>
    </w:p>
    <w:p w:rsidR="00A0571D" w:rsidRPr="00A0571D" w:rsidRDefault="00A0571D" w:rsidP="00A0571D">
      <w:pPr>
        <w:spacing w:after="0" w:line="240" w:lineRule="auto"/>
        <w:rPr>
          <w:rFonts w:asciiTheme="majorHAnsi" w:hAnsiTheme="majorHAnsi"/>
          <w:b/>
          <w:kern w:val="32"/>
        </w:rPr>
      </w:pPr>
      <w:r w:rsidRPr="00A0571D">
        <w:rPr>
          <w:rFonts w:asciiTheme="majorHAnsi" w:hAnsiTheme="majorHAnsi"/>
          <w:b/>
          <w:kern w:val="32"/>
        </w:rPr>
        <w:t xml:space="preserve">Clauses 2.4.8 Serviceability limit states and 2.4.9 </w:t>
      </w:r>
      <w:r w:rsidRPr="00A0571D">
        <w:rPr>
          <w:rFonts w:asciiTheme="majorHAnsi" w:hAnsiTheme="majorHAnsi" w:cs="Arial"/>
          <w:b/>
          <w:bCs/>
          <w:color w:val="000002"/>
          <w:lang w:eastAsia="it-IT"/>
        </w:rPr>
        <w:t>Limiting values for movements of foundations</w:t>
      </w:r>
    </w:p>
    <w:p w:rsidR="00A0571D" w:rsidRDefault="00A0571D" w:rsidP="00A0571D">
      <w:pPr>
        <w:spacing w:after="0" w:line="240" w:lineRule="auto"/>
        <w:jc w:val="both"/>
        <w:rPr>
          <w:kern w:val="32"/>
        </w:rPr>
      </w:pPr>
      <w:r>
        <w:rPr>
          <w:kern w:val="32"/>
        </w:rPr>
        <w:t>EN 1997 and EN 1998 should provide guidance to select the limits of allowable/excessive permanent displacements both for static or seismic loading conditions.</w:t>
      </w:r>
    </w:p>
    <w:p w:rsidR="007F5631" w:rsidRDefault="007F5631" w:rsidP="000D2C62">
      <w:pPr>
        <w:spacing w:after="0" w:line="240" w:lineRule="auto"/>
        <w:rPr>
          <w:kern w:val="32"/>
        </w:rPr>
      </w:pPr>
    </w:p>
    <w:p w:rsidR="007F5631" w:rsidRPr="00A0571D" w:rsidRDefault="007F5631" w:rsidP="000D2C62">
      <w:pPr>
        <w:spacing w:after="0" w:line="240" w:lineRule="auto"/>
        <w:rPr>
          <w:b/>
          <w:kern w:val="32"/>
        </w:rPr>
      </w:pPr>
      <w:r w:rsidRPr="00A0571D">
        <w:rPr>
          <w:b/>
          <w:kern w:val="32"/>
        </w:rPr>
        <w:t>Section 3 Geotechnical data</w:t>
      </w:r>
    </w:p>
    <w:p w:rsidR="007F5631" w:rsidRDefault="007F5631" w:rsidP="000D2C62">
      <w:pPr>
        <w:spacing w:after="0" w:line="240" w:lineRule="auto"/>
        <w:rPr>
          <w:kern w:val="32"/>
        </w:rPr>
      </w:pPr>
      <w:r>
        <w:rPr>
          <w:kern w:val="32"/>
        </w:rPr>
        <w:t>Guidance should be provided on:</w:t>
      </w:r>
    </w:p>
    <w:p w:rsidR="0023200D" w:rsidRPr="0023200D" w:rsidRDefault="007F5631" w:rsidP="0023200D">
      <w:pPr>
        <w:pStyle w:val="ListParagraph"/>
        <w:numPr>
          <w:ilvl w:val="0"/>
          <w:numId w:val="37"/>
        </w:numPr>
        <w:spacing w:after="0" w:line="240" w:lineRule="auto"/>
        <w:rPr>
          <w:smallCaps/>
          <w:spacing w:val="5"/>
          <w:kern w:val="32"/>
          <w:sz w:val="36"/>
          <w:szCs w:val="36"/>
        </w:rPr>
      </w:pPr>
      <w:r w:rsidRPr="0023200D">
        <w:rPr>
          <w:kern w:val="32"/>
        </w:rPr>
        <w:t>In situ and laboratory test to assess soil resistance to cyclic-dynamic loads</w:t>
      </w:r>
    </w:p>
    <w:p w:rsidR="0023200D" w:rsidRPr="0023200D" w:rsidRDefault="0023200D" w:rsidP="0023200D">
      <w:pPr>
        <w:pStyle w:val="ListParagraph"/>
        <w:numPr>
          <w:ilvl w:val="0"/>
          <w:numId w:val="37"/>
        </w:numPr>
        <w:spacing w:after="0" w:line="240" w:lineRule="auto"/>
        <w:rPr>
          <w:smallCaps/>
          <w:spacing w:val="5"/>
          <w:kern w:val="32"/>
          <w:sz w:val="36"/>
          <w:szCs w:val="36"/>
        </w:rPr>
      </w:pPr>
      <w:r>
        <w:rPr>
          <w:kern w:val="32"/>
        </w:rPr>
        <w:t>Techniques to measure the shear wave velocity with possible limitations, accuracy etc.</w:t>
      </w:r>
    </w:p>
    <w:p w:rsidR="007F5631" w:rsidRPr="0023200D" w:rsidRDefault="0023200D" w:rsidP="007F5631">
      <w:pPr>
        <w:pStyle w:val="ListParagraph"/>
        <w:numPr>
          <w:ilvl w:val="0"/>
          <w:numId w:val="37"/>
        </w:numPr>
        <w:spacing w:after="0" w:line="240" w:lineRule="auto"/>
        <w:rPr>
          <w:smallCaps/>
          <w:spacing w:val="5"/>
          <w:kern w:val="32"/>
          <w:sz w:val="36"/>
          <w:szCs w:val="36"/>
        </w:rPr>
      </w:pPr>
      <w:r>
        <w:rPr>
          <w:kern w:val="32"/>
        </w:rPr>
        <w:t>Laboratory tests to measure stiffness degradation and material damping, including information from well-established</w:t>
      </w:r>
      <w:r w:rsidR="007F5631">
        <w:rPr>
          <w:kern w:val="32"/>
        </w:rPr>
        <w:t xml:space="preserve"> experience.</w:t>
      </w:r>
    </w:p>
    <w:p w:rsidR="007F5631" w:rsidRDefault="007F5631" w:rsidP="007F5631">
      <w:pPr>
        <w:spacing w:after="0" w:line="240" w:lineRule="auto"/>
        <w:rPr>
          <w:kern w:val="32"/>
        </w:rPr>
      </w:pPr>
    </w:p>
    <w:p w:rsidR="00A0571D" w:rsidRDefault="00A0571D" w:rsidP="007F5631">
      <w:pPr>
        <w:spacing w:after="0" w:line="240" w:lineRule="auto"/>
        <w:rPr>
          <w:kern w:val="32"/>
        </w:rPr>
      </w:pPr>
      <w:r w:rsidRPr="002675D5">
        <w:rPr>
          <w:b/>
          <w:kern w:val="32"/>
        </w:rPr>
        <w:t>Clause 6.2 Limit states</w:t>
      </w:r>
      <w:r>
        <w:rPr>
          <w:kern w:val="32"/>
        </w:rPr>
        <w:t xml:space="preserve"> (for spread foundations but </w:t>
      </w:r>
      <w:r w:rsidR="002675D5">
        <w:rPr>
          <w:kern w:val="32"/>
        </w:rPr>
        <w:t xml:space="preserve">also </w:t>
      </w:r>
      <w:r>
        <w:rPr>
          <w:kern w:val="32"/>
        </w:rPr>
        <w:t xml:space="preserve">for other geotechnical structures </w:t>
      </w:r>
      <w:r w:rsidR="002675D5">
        <w:rPr>
          <w:kern w:val="32"/>
        </w:rPr>
        <w:t>if</w:t>
      </w:r>
      <w:r>
        <w:rPr>
          <w:kern w:val="32"/>
        </w:rPr>
        <w:t xml:space="preserve"> applicable); add to the list of ULS</w:t>
      </w:r>
      <w:r w:rsidR="00B4568A">
        <w:rPr>
          <w:kern w:val="32"/>
        </w:rPr>
        <w:t>:</w:t>
      </w:r>
    </w:p>
    <w:p w:rsidR="002675D5" w:rsidRPr="002675D5" w:rsidRDefault="00A0571D" w:rsidP="00A0571D">
      <w:pPr>
        <w:pStyle w:val="ListParagraph"/>
        <w:numPr>
          <w:ilvl w:val="0"/>
          <w:numId w:val="37"/>
        </w:numPr>
        <w:spacing w:after="0" w:line="240" w:lineRule="auto"/>
        <w:rPr>
          <w:smallCaps/>
          <w:spacing w:val="5"/>
          <w:kern w:val="32"/>
          <w:sz w:val="36"/>
          <w:szCs w:val="36"/>
        </w:rPr>
      </w:pPr>
      <w:r>
        <w:rPr>
          <w:kern w:val="32"/>
        </w:rPr>
        <w:t>The occurrence of sand liquefaction under a footing or a slab (the appropriate</w:t>
      </w:r>
      <w:r w:rsidR="002675D5">
        <w:rPr>
          <w:kern w:val="32"/>
        </w:rPr>
        <w:t xml:space="preserve"> calculation model should be presented in EN 1998)</w:t>
      </w:r>
    </w:p>
    <w:p w:rsidR="00082754" w:rsidRPr="00A0571D" w:rsidRDefault="002675D5" w:rsidP="00A0571D">
      <w:pPr>
        <w:pStyle w:val="ListParagraph"/>
        <w:numPr>
          <w:ilvl w:val="0"/>
          <w:numId w:val="37"/>
        </w:numPr>
        <w:spacing w:after="0" w:line="240" w:lineRule="auto"/>
        <w:rPr>
          <w:smallCaps/>
          <w:spacing w:val="5"/>
          <w:kern w:val="32"/>
          <w:sz w:val="36"/>
          <w:szCs w:val="36"/>
        </w:rPr>
      </w:pPr>
      <w:r>
        <w:rPr>
          <w:kern w:val="32"/>
        </w:rPr>
        <w:t>The occurrence of excessive displacements due to the earthquake shaking</w:t>
      </w:r>
      <w:r w:rsidR="00920585">
        <w:rPr>
          <w:kern w:val="32"/>
        </w:rPr>
        <w:t>.</w:t>
      </w:r>
      <w:r w:rsidR="00082754" w:rsidRPr="00A0571D">
        <w:rPr>
          <w:kern w:val="32"/>
        </w:rPr>
        <w:br w:type="page"/>
      </w:r>
    </w:p>
    <w:p w:rsidR="00795050" w:rsidRPr="00A31BE8" w:rsidRDefault="00E151E2" w:rsidP="00936B6A">
      <w:pPr>
        <w:spacing w:after="0" w:line="240" w:lineRule="auto"/>
        <w:jc w:val="both"/>
        <w:rPr>
          <w:rStyle w:val="Strong"/>
        </w:rPr>
      </w:pPr>
      <w:r w:rsidRPr="00A31BE8">
        <w:rPr>
          <w:kern w:val="32"/>
        </w:rPr>
        <w:lastRenderedPageBreak/>
        <w:t>T</w:t>
      </w:r>
      <w:r w:rsidRPr="00A31BE8">
        <w:rPr>
          <w:rStyle w:val="Strong"/>
        </w:rPr>
        <w:t>HE FOLLOWING SUGGESTIONS ARE GIVEN FOR POSSIBLE CONSIDERATION FOR EN 1998-5</w:t>
      </w:r>
    </w:p>
    <w:p w:rsidR="00795050" w:rsidRPr="00A31BE8" w:rsidRDefault="00795050" w:rsidP="00936B6A">
      <w:pPr>
        <w:spacing w:after="0" w:line="240" w:lineRule="auto"/>
        <w:jc w:val="both"/>
        <w:rPr>
          <w:rStyle w:val="Strong"/>
        </w:rPr>
      </w:pPr>
    </w:p>
    <w:p w:rsidR="0088488C" w:rsidRPr="00A31BE8" w:rsidRDefault="0088488C" w:rsidP="00936B6A">
      <w:pPr>
        <w:spacing w:after="0" w:line="240" w:lineRule="auto"/>
        <w:jc w:val="both"/>
        <w:rPr>
          <w:u w:val="single"/>
        </w:rPr>
      </w:pPr>
      <w:r w:rsidRPr="00A31BE8">
        <w:rPr>
          <w:u w:val="single"/>
        </w:rPr>
        <w:t xml:space="preserve">Soil characteristics: </w:t>
      </w:r>
    </w:p>
    <w:p w:rsidR="0088488C" w:rsidRPr="00A31BE8" w:rsidRDefault="0088488C" w:rsidP="00936B6A">
      <w:pPr>
        <w:spacing w:after="0" w:line="240" w:lineRule="auto"/>
        <w:jc w:val="both"/>
      </w:pPr>
      <w:r w:rsidRPr="00A31BE8">
        <w:t>(§3.1 and §5.4.1.1(9)) recommendations on how to measure the undrained shear strength of cohesive soils under rapid loading and also warning on the type of material sensitive to</w:t>
      </w:r>
      <w:r w:rsidR="00E01F58" w:rsidRPr="00A31BE8">
        <w:t xml:space="preserve"> significant cyclic degradation;</w:t>
      </w:r>
      <w:r w:rsidR="00010385" w:rsidRPr="00A31BE8">
        <w:t xml:space="preserve"> should be referred to appropriate clauses of EN 1997-2</w:t>
      </w:r>
    </w:p>
    <w:p w:rsidR="0088488C" w:rsidRPr="00A31BE8" w:rsidRDefault="0088488C" w:rsidP="00936B6A">
      <w:pPr>
        <w:spacing w:after="0" w:line="240" w:lineRule="auto"/>
        <w:jc w:val="both"/>
      </w:pPr>
      <w:r w:rsidRPr="00A31BE8">
        <w:t>(§3.2)</w:t>
      </w:r>
      <w:r w:rsidR="009034E1" w:rsidRPr="00A31BE8">
        <w:t xml:space="preserve"> </w:t>
      </w:r>
      <w:r w:rsidRPr="00A31BE8">
        <w:t>laboratory tests to measure stiffness d</w:t>
      </w:r>
      <w:r w:rsidR="00E01F58" w:rsidRPr="00A31BE8">
        <w:t>egradation and material damping</w:t>
      </w:r>
      <w:r w:rsidR="00010385" w:rsidRPr="00A31BE8">
        <w:t>: see EN 1997</w:t>
      </w:r>
    </w:p>
    <w:p w:rsidR="00E01F58" w:rsidRPr="00A31BE8" w:rsidRDefault="00E01F58" w:rsidP="00936B6A">
      <w:pPr>
        <w:spacing w:after="0" w:line="240" w:lineRule="auto"/>
        <w:jc w:val="both"/>
      </w:pPr>
    </w:p>
    <w:p w:rsidR="00E01F58" w:rsidRPr="00A31BE8" w:rsidRDefault="00E01F58" w:rsidP="00936B6A">
      <w:pPr>
        <w:spacing w:after="0" w:line="240" w:lineRule="auto"/>
        <w:jc w:val="both"/>
        <w:rPr>
          <w:u w:val="single"/>
        </w:rPr>
      </w:pPr>
      <w:r w:rsidRPr="00A31BE8">
        <w:rPr>
          <w:u w:val="single"/>
        </w:rPr>
        <w:t>Siting:</w:t>
      </w:r>
    </w:p>
    <w:p w:rsidR="00E01F58" w:rsidRPr="00A31BE8" w:rsidRDefault="00E01F58" w:rsidP="00936B6A">
      <w:pPr>
        <w:spacing w:after="0" w:line="240" w:lineRule="auto"/>
        <w:jc w:val="both"/>
      </w:pPr>
      <w:r w:rsidRPr="00A31BE8">
        <w:t xml:space="preserve">(§3.2) </w:t>
      </w:r>
      <w:r w:rsidR="00847248" w:rsidRPr="00A31BE8">
        <w:t xml:space="preserve">suggest </w:t>
      </w:r>
      <w:r w:rsidRPr="00A31BE8">
        <w:t>acceptable techniques to measure the shear wave velocity</w:t>
      </w:r>
      <w:r w:rsidR="00936B6A" w:rsidRPr="00A31BE8">
        <w:t xml:space="preserve"> referring to EN 1997</w:t>
      </w:r>
      <w:r w:rsidRPr="00A31BE8">
        <w:t>;</w:t>
      </w:r>
    </w:p>
    <w:p w:rsidR="00E01F58" w:rsidRPr="00A31BE8" w:rsidRDefault="00E01F58" w:rsidP="00936B6A">
      <w:pPr>
        <w:spacing w:after="0" w:line="240" w:lineRule="auto"/>
        <w:jc w:val="both"/>
      </w:pPr>
    </w:p>
    <w:p w:rsidR="0088488C" w:rsidRPr="00A31BE8" w:rsidRDefault="009034E1" w:rsidP="00936B6A">
      <w:pPr>
        <w:spacing w:after="0" w:line="240" w:lineRule="auto"/>
        <w:jc w:val="both"/>
      </w:pPr>
      <w:r w:rsidRPr="00A31BE8">
        <w:t xml:space="preserve">(§4.1.2) </w:t>
      </w:r>
      <w:r w:rsidR="0088488C" w:rsidRPr="00A31BE8">
        <w:t xml:space="preserve">Geological investigations to identify active faults: </w:t>
      </w:r>
      <w:r w:rsidR="008C21CE">
        <w:t>the subject</w:t>
      </w:r>
      <w:r w:rsidRPr="00A31BE8">
        <w:t xml:space="preserve"> may be out of the scope of the Code</w:t>
      </w:r>
    </w:p>
    <w:p w:rsidR="00E01F58" w:rsidRPr="00A31BE8" w:rsidRDefault="00E01F58" w:rsidP="00936B6A">
      <w:pPr>
        <w:spacing w:after="0" w:line="240" w:lineRule="auto"/>
        <w:jc w:val="both"/>
      </w:pPr>
    </w:p>
    <w:p w:rsidR="0088488C" w:rsidRPr="00A31BE8" w:rsidRDefault="0088488C" w:rsidP="00936B6A">
      <w:pPr>
        <w:spacing w:after="0" w:line="240" w:lineRule="auto"/>
        <w:jc w:val="both"/>
      </w:pPr>
      <w:r w:rsidRPr="00A31BE8">
        <w:rPr>
          <w:u w:val="single"/>
        </w:rPr>
        <w:t>Foundations</w:t>
      </w:r>
      <w:r w:rsidRPr="00A31BE8">
        <w:t>:</w:t>
      </w:r>
    </w:p>
    <w:p w:rsidR="00E01F58" w:rsidRPr="00A31BE8" w:rsidRDefault="0088488C" w:rsidP="00936B6A">
      <w:pPr>
        <w:pStyle w:val="ListParagraph"/>
        <w:numPr>
          <w:ilvl w:val="0"/>
          <w:numId w:val="39"/>
        </w:numPr>
        <w:spacing w:after="0" w:line="240" w:lineRule="auto"/>
        <w:jc w:val="both"/>
      </w:pPr>
      <w:r w:rsidRPr="00A31BE8">
        <w:t xml:space="preserve">Guidance on acceptable values for permanent (absolute and differential) </w:t>
      </w:r>
      <w:r w:rsidR="00936B6A" w:rsidRPr="00A31BE8">
        <w:t>s</w:t>
      </w:r>
      <w:r w:rsidRPr="00A31BE8">
        <w:t>ettlements following an earthquake (5.1(1)b)</w:t>
      </w:r>
    </w:p>
    <w:p w:rsidR="00010385" w:rsidRPr="00A31BE8" w:rsidRDefault="00010385" w:rsidP="00936B6A">
      <w:pPr>
        <w:pStyle w:val="ListParagraph"/>
        <w:numPr>
          <w:ilvl w:val="0"/>
          <w:numId w:val="39"/>
        </w:numPr>
        <w:spacing w:after="0" w:line="240" w:lineRule="auto"/>
        <w:jc w:val="both"/>
      </w:pPr>
      <w:r w:rsidRPr="00A31BE8">
        <w:rPr>
          <w:kern w:val="32"/>
        </w:rPr>
        <w:t>The complete set of partial factors (model, actions, material or resistances) should be presented in appropriate tables; the same tables must also be included in EN 1997</w:t>
      </w:r>
    </w:p>
    <w:p w:rsidR="00E01F58" w:rsidRPr="00A31BE8" w:rsidRDefault="0088488C" w:rsidP="00936B6A">
      <w:pPr>
        <w:pStyle w:val="ListParagraph"/>
        <w:numPr>
          <w:ilvl w:val="0"/>
          <w:numId w:val="39"/>
        </w:numPr>
        <w:spacing w:after="0" w:line="240" w:lineRule="auto"/>
        <w:jc w:val="both"/>
      </w:pPr>
      <w:r w:rsidRPr="00A31BE8">
        <w:t>Verification for piles under lateral loading (5.4.2(2) and 5.4.2(5))</w:t>
      </w:r>
    </w:p>
    <w:p w:rsidR="0088488C" w:rsidRPr="00A31BE8" w:rsidRDefault="0088488C" w:rsidP="00936B6A">
      <w:pPr>
        <w:pStyle w:val="ListParagraph"/>
        <w:numPr>
          <w:ilvl w:val="0"/>
          <w:numId w:val="39"/>
        </w:numPr>
        <w:spacing w:after="0" w:line="240" w:lineRule="auto"/>
        <w:jc w:val="both"/>
      </w:pPr>
      <w:r w:rsidRPr="00A31BE8">
        <w:t xml:space="preserve">Indication </w:t>
      </w:r>
      <w:r w:rsidR="00E01F58" w:rsidRPr="00A31BE8">
        <w:t xml:space="preserve">of </w:t>
      </w:r>
      <w:r w:rsidRPr="00A31BE8">
        <w:t>soils susceptible to significant degradation of resistance</w:t>
      </w:r>
      <w:r w:rsidR="008C21CE">
        <w:t xml:space="preserve"> during the earthquake</w:t>
      </w:r>
      <w:r w:rsidRPr="00A31BE8">
        <w:t xml:space="preserve"> (nature, depth from the ground surface</w:t>
      </w:r>
      <w:r w:rsidR="008C21CE">
        <w:t>, etc</w:t>
      </w:r>
      <w:proofErr w:type="gramStart"/>
      <w:r w:rsidR="008C21CE">
        <w:t>..)</w:t>
      </w:r>
      <w:proofErr w:type="gramEnd"/>
    </w:p>
    <w:p w:rsidR="00010385" w:rsidRPr="00A31BE8" w:rsidRDefault="00010385" w:rsidP="00936B6A">
      <w:pPr>
        <w:spacing w:after="0" w:line="240" w:lineRule="auto"/>
        <w:jc w:val="both"/>
        <w:rPr>
          <w:kern w:val="32"/>
        </w:rPr>
      </w:pPr>
    </w:p>
    <w:p w:rsidR="00010385" w:rsidRPr="00A31BE8" w:rsidRDefault="00010385" w:rsidP="00936B6A">
      <w:pPr>
        <w:spacing w:after="0" w:line="240" w:lineRule="auto"/>
        <w:jc w:val="both"/>
        <w:rPr>
          <w:rFonts w:asciiTheme="majorHAnsi" w:hAnsiTheme="majorHAnsi"/>
          <w:kern w:val="32"/>
        </w:rPr>
      </w:pPr>
      <w:r w:rsidRPr="00A31BE8">
        <w:rPr>
          <w:rFonts w:asciiTheme="majorHAnsi" w:hAnsiTheme="majorHAnsi"/>
          <w:kern w:val="32"/>
          <w:u w:val="single"/>
        </w:rPr>
        <w:t>Earth retaining structures</w:t>
      </w:r>
      <w:r w:rsidRPr="00A31BE8">
        <w:rPr>
          <w:rFonts w:asciiTheme="majorHAnsi" w:hAnsiTheme="majorHAnsi"/>
          <w:kern w:val="32"/>
        </w:rPr>
        <w:t>:</w:t>
      </w:r>
    </w:p>
    <w:p w:rsidR="00847248" w:rsidRPr="00A31BE8" w:rsidRDefault="00010385" w:rsidP="00936B6A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smallCaps/>
          <w:spacing w:val="5"/>
          <w:kern w:val="32"/>
          <w:sz w:val="36"/>
          <w:szCs w:val="36"/>
        </w:rPr>
      </w:pPr>
      <w:r w:rsidRPr="00A31BE8">
        <w:rPr>
          <w:rFonts w:asciiTheme="majorHAnsi" w:hAnsiTheme="majorHAnsi" w:cs="TimesNewRoman,Bold"/>
          <w:bCs/>
          <w:lang w:eastAsia="it-IT"/>
        </w:rPr>
        <w:t xml:space="preserve">Table 7.1 — Values of factor </w:t>
      </w:r>
      <w:r w:rsidRPr="00A31BE8">
        <w:rPr>
          <w:rFonts w:asciiTheme="majorHAnsi" w:hAnsiTheme="majorHAnsi" w:cs="TimesNewRoman,BoldItalic"/>
          <w:bCs/>
          <w:i/>
          <w:iCs/>
          <w:lang w:eastAsia="it-IT"/>
        </w:rPr>
        <w:t xml:space="preserve">r </w:t>
      </w:r>
      <w:r w:rsidRPr="00A31BE8">
        <w:rPr>
          <w:rFonts w:asciiTheme="majorHAnsi" w:hAnsiTheme="majorHAnsi" w:cs="TimesNewRoman,Bold"/>
          <w:bCs/>
          <w:lang w:eastAsia="it-IT"/>
        </w:rPr>
        <w:t>for the calculation of the horizontal seismic</w:t>
      </w:r>
      <w:r w:rsidR="00847248" w:rsidRPr="00A31BE8">
        <w:rPr>
          <w:rFonts w:asciiTheme="majorHAnsi" w:hAnsiTheme="majorHAnsi" w:cs="TimesNewRoman,Bold"/>
          <w:bCs/>
          <w:lang w:eastAsia="it-IT"/>
        </w:rPr>
        <w:t xml:space="preserve"> </w:t>
      </w:r>
      <w:r w:rsidRPr="00A31BE8">
        <w:rPr>
          <w:rFonts w:asciiTheme="majorHAnsi" w:hAnsiTheme="majorHAnsi" w:cs="TimesNewRoman,Bold"/>
          <w:bCs/>
          <w:lang w:eastAsia="it-IT"/>
        </w:rPr>
        <w:t xml:space="preserve">coefficient must be reconsidered to allow for </w:t>
      </w:r>
      <w:r w:rsidR="00773C55">
        <w:rPr>
          <w:rFonts w:asciiTheme="majorHAnsi" w:hAnsiTheme="majorHAnsi" w:cs="TimesNewRoman,Bold"/>
          <w:bCs/>
          <w:lang w:eastAsia="it-IT"/>
        </w:rPr>
        <w:t xml:space="preserve">soil </w:t>
      </w:r>
      <w:r w:rsidRPr="00A31BE8">
        <w:rPr>
          <w:rFonts w:asciiTheme="majorHAnsi" w:hAnsiTheme="majorHAnsi" w:cs="TimesNewRoman,Bold"/>
          <w:bCs/>
          <w:lang w:eastAsia="it-IT"/>
        </w:rPr>
        <w:t>permanent displacements with high seismicity</w:t>
      </w:r>
    </w:p>
    <w:p w:rsidR="00847248" w:rsidRPr="00A31BE8" w:rsidRDefault="00847248" w:rsidP="00936B6A">
      <w:pPr>
        <w:autoSpaceDE w:val="0"/>
        <w:autoSpaceDN w:val="0"/>
        <w:adjustRightInd w:val="0"/>
        <w:spacing w:after="0" w:line="240" w:lineRule="auto"/>
        <w:jc w:val="both"/>
        <w:rPr>
          <w:kern w:val="32"/>
          <w:u w:val="single"/>
        </w:rPr>
      </w:pPr>
      <w:r w:rsidRPr="00A31BE8">
        <w:rPr>
          <w:kern w:val="32"/>
          <w:u w:val="single"/>
        </w:rPr>
        <w:t>Anchor system</w:t>
      </w:r>
    </w:p>
    <w:p w:rsidR="00795050" w:rsidRPr="00A31BE8" w:rsidRDefault="00847248" w:rsidP="002F0538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480" w:after="0" w:line="240" w:lineRule="auto"/>
        <w:jc w:val="both"/>
        <w:outlineLvl w:val="0"/>
        <w:rPr>
          <w:smallCaps/>
          <w:spacing w:val="5"/>
          <w:kern w:val="32"/>
          <w:sz w:val="36"/>
          <w:szCs w:val="36"/>
        </w:rPr>
      </w:pPr>
      <w:r w:rsidRPr="002F0538">
        <w:rPr>
          <w:kern w:val="32"/>
        </w:rPr>
        <w:t xml:space="preserve">Strength hierarchy principles should be introduced to ensure that anchor foundation capacity is reached before </w:t>
      </w:r>
      <w:r w:rsidR="00936B6A" w:rsidRPr="002F0538">
        <w:rPr>
          <w:kern w:val="32"/>
        </w:rPr>
        <w:t xml:space="preserve">the </w:t>
      </w:r>
      <w:r w:rsidRPr="002F0538">
        <w:rPr>
          <w:kern w:val="32"/>
        </w:rPr>
        <w:t>failure of the tendons and of the restrain system.</w:t>
      </w:r>
    </w:p>
    <w:sectPr w:rsidR="00795050" w:rsidRPr="00A31BE8" w:rsidSect="004E51AC">
      <w:footerReference w:type="even" r:id="rId8"/>
      <w:footerReference w:type="default" r:id="rId9"/>
      <w:footerReference w:type="first" r:id="rId10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4EF" w:rsidRDefault="006324EF">
      <w:r>
        <w:separator/>
      </w:r>
    </w:p>
  </w:endnote>
  <w:endnote w:type="continuationSeparator" w:id="0">
    <w:p w:rsidR="006324EF" w:rsidRDefault="00632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04" w:rsidRDefault="00065204" w:rsidP="004E51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5204" w:rsidRDefault="00065204" w:rsidP="004E51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04" w:rsidRDefault="00065204" w:rsidP="00545F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384A">
      <w:rPr>
        <w:rStyle w:val="PageNumber"/>
        <w:noProof/>
      </w:rPr>
      <w:t>1</w:t>
    </w:r>
    <w:r>
      <w:rPr>
        <w:rStyle w:val="PageNumber"/>
      </w:rPr>
      <w:fldChar w:fldCharType="end"/>
    </w:r>
  </w:p>
  <w:p w:rsidR="00065204" w:rsidRPr="0061539E" w:rsidRDefault="00065204" w:rsidP="004E51AC">
    <w:pPr>
      <w:pStyle w:val="Footer"/>
      <w:pBdr>
        <w:top w:val="single" w:sz="8" w:space="1" w:color="auto"/>
      </w:pBdr>
      <w:ind w:right="360"/>
      <w:rPr>
        <w:sz w:val="18"/>
        <w:szCs w:val="18"/>
      </w:rPr>
    </w:pPr>
    <w:r w:rsidRPr="0061539E">
      <w:rPr>
        <w:sz w:val="18"/>
        <w:szCs w:val="18"/>
      </w:rPr>
      <w:tab/>
    </w:r>
    <w:r w:rsidRPr="0061539E">
      <w:rPr>
        <w:sz w:val="18"/>
        <w:szCs w:val="18"/>
      </w:rPr>
      <w:tab/>
    </w:r>
    <w:r w:rsidR="00F02491">
      <w:rPr>
        <w:sz w:val="18"/>
        <w:szCs w:val="18"/>
      </w:rPr>
      <w:t>August</w:t>
    </w:r>
    <w:r w:rsidR="007167B0">
      <w:rPr>
        <w:sz w:val="18"/>
        <w:szCs w:val="18"/>
      </w:rPr>
      <w:t xml:space="preserve">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04" w:rsidRPr="00572B41" w:rsidRDefault="00065204" w:rsidP="00572B41">
    <w:pPr>
      <w:pStyle w:val="Footer"/>
      <w:rPr>
        <w:szCs w:val="18"/>
        <w:lang w:val="en-GB"/>
      </w:rPr>
    </w:pPr>
    <w:r>
      <w:rPr>
        <w:szCs w:val="18"/>
        <w:lang w:val="en-GB"/>
      </w:rPr>
      <w:t>TC250/SC7/Evolution Groups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4EF" w:rsidRDefault="006324EF">
      <w:r>
        <w:separator/>
      </w:r>
    </w:p>
  </w:footnote>
  <w:footnote w:type="continuationSeparator" w:id="0">
    <w:p w:rsidR="006324EF" w:rsidRDefault="00632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6C3842"/>
    <w:multiLevelType w:val="singleLevel"/>
    <w:tmpl w:val="D256DDDA"/>
    <w:lvl w:ilvl="0">
      <w:start w:val="3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01F9692E"/>
    <w:multiLevelType w:val="singleLevel"/>
    <w:tmpl w:val="C12C575A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042B2666"/>
    <w:multiLevelType w:val="hybridMultilevel"/>
    <w:tmpl w:val="A3B498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0D2787B"/>
    <w:multiLevelType w:val="hybridMultilevel"/>
    <w:tmpl w:val="D868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996E2D"/>
    <w:multiLevelType w:val="multilevel"/>
    <w:tmpl w:val="1BCC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5552A9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7">
    <w:nsid w:val="1CAC3457"/>
    <w:multiLevelType w:val="hybridMultilevel"/>
    <w:tmpl w:val="4D3E9E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6925AD"/>
    <w:multiLevelType w:val="hybridMultilevel"/>
    <w:tmpl w:val="AFE2F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80650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2CCA7B04"/>
    <w:multiLevelType w:val="hybridMultilevel"/>
    <w:tmpl w:val="A5B0D46C"/>
    <w:lvl w:ilvl="0" w:tplc="B88683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4357E"/>
    <w:multiLevelType w:val="singleLevel"/>
    <w:tmpl w:val="A5AC5260"/>
    <w:lvl w:ilvl="0">
      <w:start w:val="7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2">
    <w:nsid w:val="303D436F"/>
    <w:multiLevelType w:val="hybridMultilevel"/>
    <w:tmpl w:val="313AD606"/>
    <w:lvl w:ilvl="0" w:tplc="A83EE718"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366BEC"/>
    <w:multiLevelType w:val="hybridMultilevel"/>
    <w:tmpl w:val="F65A5A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38B112E"/>
    <w:multiLevelType w:val="hybridMultilevel"/>
    <w:tmpl w:val="9F74D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6F1062"/>
    <w:multiLevelType w:val="singleLevel"/>
    <w:tmpl w:val="64708992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6">
    <w:nsid w:val="3E4A6DFA"/>
    <w:multiLevelType w:val="hybridMultilevel"/>
    <w:tmpl w:val="C68203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EB6C84"/>
    <w:multiLevelType w:val="singleLevel"/>
    <w:tmpl w:val="BC2C7A58"/>
    <w:lvl w:ilvl="0">
      <w:start w:val="2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>
    <w:nsid w:val="41731B34"/>
    <w:multiLevelType w:val="hybridMultilevel"/>
    <w:tmpl w:val="B92689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4402BF"/>
    <w:multiLevelType w:val="singleLevel"/>
    <w:tmpl w:val="F00A791E"/>
    <w:lvl w:ilvl="0">
      <w:start w:val="4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0">
    <w:nsid w:val="4D9E5EB4"/>
    <w:multiLevelType w:val="hybridMultilevel"/>
    <w:tmpl w:val="092633E6"/>
    <w:lvl w:ilvl="0" w:tplc="69E4AFCE">
      <w:start w:val="1"/>
      <w:numFmt w:val="upp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>
    <w:nsid w:val="50115D83"/>
    <w:multiLevelType w:val="hybridMultilevel"/>
    <w:tmpl w:val="86D8AA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1C65461"/>
    <w:multiLevelType w:val="singleLevel"/>
    <w:tmpl w:val="AB042234"/>
    <w:lvl w:ilvl="0">
      <w:start w:val="1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3">
    <w:nsid w:val="55B43487"/>
    <w:multiLevelType w:val="multilevel"/>
    <w:tmpl w:val="436CFC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4">
    <w:nsid w:val="56A41046"/>
    <w:multiLevelType w:val="hybridMultilevel"/>
    <w:tmpl w:val="1E5879F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20B89"/>
    <w:multiLevelType w:val="hybridMultilevel"/>
    <w:tmpl w:val="8DE4E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87D099D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457179"/>
    <w:multiLevelType w:val="hybridMultilevel"/>
    <w:tmpl w:val="1340C354"/>
    <w:lvl w:ilvl="0" w:tplc="28BAEF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90722F"/>
    <w:multiLevelType w:val="hybridMultilevel"/>
    <w:tmpl w:val="7000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BB56D01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1D4EC2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4229EC"/>
    <w:multiLevelType w:val="multilevel"/>
    <w:tmpl w:val="53987D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516" w:hanging="516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5D4733BD"/>
    <w:multiLevelType w:val="hybridMultilevel"/>
    <w:tmpl w:val="49468132"/>
    <w:lvl w:ilvl="0" w:tplc="FA4E0E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343EF1"/>
    <w:multiLevelType w:val="hybridMultilevel"/>
    <w:tmpl w:val="DE144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404296F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4">
    <w:nsid w:val="694A0050"/>
    <w:multiLevelType w:val="hybridMultilevel"/>
    <w:tmpl w:val="6658C4C6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4319BE"/>
    <w:multiLevelType w:val="singleLevel"/>
    <w:tmpl w:val="8B5CC3D2"/>
    <w:lvl w:ilvl="0">
      <w:start w:val="5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6">
    <w:nsid w:val="7BE84B90"/>
    <w:multiLevelType w:val="hybridMultilevel"/>
    <w:tmpl w:val="2FC61C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A47908"/>
    <w:multiLevelType w:val="hybridMultilevel"/>
    <w:tmpl w:val="D9786C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26"/>
  </w:num>
  <w:num w:numId="7">
    <w:abstractNumId w:val="29"/>
  </w:num>
  <w:num w:numId="8">
    <w:abstractNumId w:val="34"/>
  </w:num>
  <w:num w:numId="9">
    <w:abstractNumId w:val="31"/>
  </w:num>
  <w:num w:numId="10">
    <w:abstractNumId w:val="6"/>
  </w:num>
  <w:num w:numId="11">
    <w:abstractNumId w:val="11"/>
  </w:num>
  <w:num w:numId="12">
    <w:abstractNumId w:val="22"/>
  </w:num>
  <w:num w:numId="13">
    <w:abstractNumId w:val="17"/>
  </w:num>
  <w:num w:numId="14">
    <w:abstractNumId w:val="1"/>
  </w:num>
  <w:num w:numId="15">
    <w:abstractNumId w:val="19"/>
  </w:num>
  <w:num w:numId="16">
    <w:abstractNumId w:val="35"/>
  </w:num>
  <w:num w:numId="17">
    <w:abstractNumId w:val="33"/>
  </w:num>
  <w:num w:numId="18">
    <w:abstractNumId w:val="2"/>
  </w:num>
  <w:num w:numId="19">
    <w:abstractNumId w:val="15"/>
  </w:num>
  <w:num w:numId="20">
    <w:abstractNumId w:val="16"/>
  </w:num>
  <w:num w:numId="21">
    <w:abstractNumId w:val="37"/>
  </w:num>
  <w:num w:numId="22">
    <w:abstractNumId w:val="13"/>
  </w:num>
  <w:num w:numId="23">
    <w:abstractNumId w:val="25"/>
  </w:num>
  <w:num w:numId="24">
    <w:abstractNumId w:val="14"/>
  </w:num>
  <w:num w:numId="25">
    <w:abstractNumId w:val="28"/>
  </w:num>
  <w:num w:numId="26">
    <w:abstractNumId w:val="7"/>
  </w:num>
  <w:num w:numId="27">
    <w:abstractNumId w:val="32"/>
  </w:num>
  <w:num w:numId="28">
    <w:abstractNumId w:val="18"/>
  </w:num>
  <w:num w:numId="29">
    <w:abstractNumId w:val="3"/>
  </w:num>
  <w:num w:numId="30">
    <w:abstractNumId w:val="21"/>
  </w:num>
  <w:num w:numId="31">
    <w:abstractNumId w:val="36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30"/>
  </w:num>
  <w:num w:numId="35">
    <w:abstractNumId w:val="9"/>
  </w:num>
  <w:num w:numId="36">
    <w:abstractNumId w:val="12"/>
  </w:num>
  <w:num w:numId="37">
    <w:abstractNumId w:val="10"/>
  </w:num>
  <w:num w:numId="38">
    <w:abstractNumId w:val="20"/>
  </w:num>
  <w:num w:numId="39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A7"/>
    <w:rsid w:val="00006667"/>
    <w:rsid w:val="00007B1A"/>
    <w:rsid w:val="00010385"/>
    <w:rsid w:val="00013F82"/>
    <w:rsid w:val="0001415D"/>
    <w:rsid w:val="00014638"/>
    <w:rsid w:val="0001561B"/>
    <w:rsid w:val="00017628"/>
    <w:rsid w:val="00024A54"/>
    <w:rsid w:val="0003155D"/>
    <w:rsid w:val="00033DBD"/>
    <w:rsid w:val="00036DD7"/>
    <w:rsid w:val="0004461F"/>
    <w:rsid w:val="0005340B"/>
    <w:rsid w:val="00055395"/>
    <w:rsid w:val="00055E0E"/>
    <w:rsid w:val="00062DDE"/>
    <w:rsid w:val="00065204"/>
    <w:rsid w:val="000722CE"/>
    <w:rsid w:val="000747F6"/>
    <w:rsid w:val="00080913"/>
    <w:rsid w:val="00082754"/>
    <w:rsid w:val="00093DF2"/>
    <w:rsid w:val="00093E8C"/>
    <w:rsid w:val="00094C2A"/>
    <w:rsid w:val="000A3B81"/>
    <w:rsid w:val="000B1121"/>
    <w:rsid w:val="000B2A3C"/>
    <w:rsid w:val="000C30CC"/>
    <w:rsid w:val="000D2C62"/>
    <w:rsid w:val="000D40A2"/>
    <w:rsid w:val="000D7CCD"/>
    <w:rsid w:val="000E2E99"/>
    <w:rsid w:val="000E2EEF"/>
    <w:rsid w:val="000F5E49"/>
    <w:rsid w:val="00104CD2"/>
    <w:rsid w:val="00112379"/>
    <w:rsid w:val="00116F0A"/>
    <w:rsid w:val="001252A7"/>
    <w:rsid w:val="00132D28"/>
    <w:rsid w:val="0013642E"/>
    <w:rsid w:val="00140CA7"/>
    <w:rsid w:val="00142B33"/>
    <w:rsid w:val="001569E8"/>
    <w:rsid w:val="00160B81"/>
    <w:rsid w:val="00165C78"/>
    <w:rsid w:val="00166E18"/>
    <w:rsid w:val="00185E7A"/>
    <w:rsid w:val="00191094"/>
    <w:rsid w:val="001C129C"/>
    <w:rsid w:val="001C4D72"/>
    <w:rsid w:val="001D1D6C"/>
    <w:rsid w:val="001D2A43"/>
    <w:rsid w:val="001D6F82"/>
    <w:rsid w:val="001F7C2E"/>
    <w:rsid w:val="00210454"/>
    <w:rsid w:val="00216E76"/>
    <w:rsid w:val="00217596"/>
    <w:rsid w:val="00220045"/>
    <w:rsid w:val="0023200D"/>
    <w:rsid w:val="00236C51"/>
    <w:rsid w:val="00244592"/>
    <w:rsid w:val="00251DD9"/>
    <w:rsid w:val="00265D51"/>
    <w:rsid w:val="002675D5"/>
    <w:rsid w:val="002753D4"/>
    <w:rsid w:val="002772CF"/>
    <w:rsid w:val="00286BA9"/>
    <w:rsid w:val="00290465"/>
    <w:rsid w:val="0029501B"/>
    <w:rsid w:val="002B4DB7"/>
    <w:rsid w:val="002B4F56"/>
    <w:rsid w:val="002B651B"/>
    <w:rsid w:val="002B6BAB"/>
    <w:rsid w:val="002C7BCD"/>
    <w:rsid w:val="002D1555"/>
    <w:rsid w:val="002D3507"/>
    <w:rsid w:val="002D5094"/>
    <w:rsid w:val="002D5392"/>
    <w:rsid w:val="002E5BCE"/>
    <w:rsid w:val="002F0538"/>
    <w:rsid w:val="002F4101"/>
    <w:rsid w:val="003046BE"/>
    <w:rsid w:val="00306393"/>
    <w:rsid w:val="00306E75"/>
    <w:rsid w:val="003107BE"/>
    <w:rsid w:val="003124A1"/>
    <w:rsid w:val="00322724"/>
    <w:rsid w:val="00330146"/>
    <w:rsid w:val="00341A61"/>
    <w:rsid w:val="00352628"/>
    <w:rsid w:val="00355389"/>
    <w:rsid w:val="00355603"/>
    <w:rsid w:val="00356B53"/>
    <w:rsid w:val="00365F77"/>
    <w:rsid w:val="00380959"/>
    <w:rsid w:val="00383E33"/>
    <w:rsid w:val="00386837"/>
    <w:rsid w:val="00386995"/>
    <w:rsid w:val="003A1498"/>
    <w:rsid w:val="003A1636"/>
    <w:rsid w:val="003B2C0E"/>
    <w:rsid w:val="003B6D06"/>
    <w:rsid w:val="003B6ED0"/>
    <w:rsid w:val="003C2DC3"/>
    <w:rsid w:val="003F5210"/>
    <w:rsid w:val="003F764D"/>
    <w:rsid w:val="00406E4F"/>
    <w:rsid w:val="0040720C"/>
    <w:rsid w:val="00417E2E"/>
    <w:rsid w:val="00423BA7"/>
    <w:rsid w:val="00424139"/>
    <w:rsid w:val="004322F7"/>
    <w:rsid w:val="00433D40"/>
    <w:rsid w:val="00443B66"/>
    <w:rsid w:val="00446B50"/>
    <w:rsid w:val="00453E31"/>
    <w:rsid w:val="00461899"/>
    <w:rsid w:val="00462A65"/>
    <w:rsid w:val="004656E5"/>
    <w:rsid w:val="00476057"/>
    <w:rsid w:val="0047703F"/>
    <w:rsid w:val="00481A64"/>
    <w:rsid w:val="0048247A"/>
    <w:rsid w:val="00490341"/>
    <w:rsid w:val="004A4770"/>
    <w:rsid w:val="004A605F"/>
    <w:rsid w:val="004A7483"/>
    <w:rsid w:val="004B0F55"/>
    <w:rsid w:val="004B1851"/>
    <w:rsid w:val="004B1F07"/>
    <w:rsid w:val="004B5795"/>
    <w:rsid w:val="004C2641"/>
    <w:rsid w:val="004C3388"/>
    <w:rsid w:val="004C4A05"/>
    <w:rsid w:val="004C6E9C"/>
    <w:rsid w:val="004D0B4B"/>
    <w:rsid w:val="004E51AC"/>
    <w:rsid w:val="004E5596"/>
    <w:rsid w:val="004F6761"/>
    <w:rsid w:val="005121C6"/>
    <w:rsid w:val="005157F6"/>
    <w:rsid w:val="005211FF"/>
    <w:rsid w:val="005272F4"/>
    <w:rsid w:val="00534F76"/>
    <w:rsid w:val="00537686"/>
    <w:rsid w:val="00545F68"/>
    <w:rsid w:val="005636CD"/>
    <w:rsid w:val="00571FB3"/>
    <w:rsid w:val="00572B41"/>
    <w:rsid w:val="00573191"/>
    <w:rsid w:val="00575EE7"/>
    <w:rsid w:val="005824E5"/>
    <w:rsid w:val="0058337C"/>
    <w:rsid w:val="00583EE6"/>
    <w:rsid w:val="00587046"/>
    <w:rsid w:val="00596BD3"/>
    <w:rsid w:val="00597072"/>
    <w:rsid w:val="005B157D"/>
    <w:rsid w:val="005C3B56"/>
    <w:rsid w:val="005D00AA"/>
    <w:rsid w:val="005E01AD"/>
    <w:rsid w:val="005F7092"/>
    <w:rsid w:val="006004E5"/>
    <w:rsid w:val="00601E34"/>
    <w:rsid w:val="006054E7"/>
    <w:rsid w:val="00606E33"/>
    <w:rsid w:val="00607C0A"/>
    <w:rsid w:val="0061539E"/>
    <w:rsid w:val="006240A1"/>
    <w:rsid w:val="006324EF"/>
    <w:rsid w:val="0064023A"/>
    <w:rsid w:val="00646CAD"/>
    <w:rsid w:val="00657BC6"/>
    <w:rsid w:val="00660233"/>
    <w:rsid w:val="00666076"/>
    <w:rsid w:val="00670CBC"/>
    <w:rsid w:val="0067181A"/>
    <w:rsid w:val="00671CF9"/>
    <w:rsid w:val="006767A9"/>
    <w:rsid w:val="0069032D"/>
    <w:rsid w:val="0069049A"/>
    <w:rsid w:val="006A7413"/>
    <w:rsid w:val="006B050D"/>
    <w:rsid w:val="006B0DA8"/>
    <w:rsid w:val="006C0E92"/>
    <w:rsid w:val="006C1A6D"/>
    <w:rsid w:val="006C39CD"/>
    <w:rsid w:val="006C60A6"/>
    <w:rsid w:val="006D53EE"/>
    <w:rsid w:val="006D5E2F"/>
    <w:rsid w:val="007040E7"/>
    <w:rsid w:val="00710C7E"/>
    <w:rsid w:val="007167B0"/>
    <w:rsid w:val="00716A0D"/>
    <w:rsid w:val="00717336"/>
    <w:rsid w:val="00725F8B"/>
    <w:rsid w:val="007400EE"/>
    <w:rsid w:val="007404EF"/>
    <w:rsid w:val="00753386"/>
    <w:rsid w:val="00755AEB"/>
    <w:rsid w:val="00756C7D"/>
    <w:rsid w:val="00757947"/>
    <w:rsid w:val="00761095"/>
    <w:rsid w:val="00761842"/>
    <w:rsid w:val="00762EBA"/>
    <w:rsid w:val="00765F37"/>
    <w:rsid w:val="0077250A"/>
    <w:rsid w:val="00773C55"/>
    <w:rsid w:val="007770EA"/>
    <w:rsid w:val="007845AF"/>
    <w:rsid w:val="00785011"/>
    <w:rsid w:val="007921D2"/>
    <w:rsid w:val="00795050"/>
    <w:rsid w:val="007A3A65"/>
    <w:rsid w:val="007B0604"/>
    <w:rsid w:val="007B2EBE"/>
    <w:rsid w:val="007B661D"/>
    <w:rsid w:val="007C5E90"/>
    <w:rsid w:val="007D1CBF"/>
    <w:rsid w:val="007E2391"/>
    <w:rsid w:val="007F2EC4"/>
    <w:rsid w:val="007F5631"/>
    <w:rsid w:val="007F7189"/>
    <w:rsid w:val="00814016"/>
    <w:rsid w:val="00817D21"/>
    <w:rsid w:val="00820EC1"/>
    <w:rsid w:val="00824E43"/>
    <w:rsid w:val="00826219"/>
    <w:rsid w:val="00826BBE"/>
    <w:rsid w:val="008276D9"/>
    <w:rsid w:val="00833922"/>
    <w:rsid w:val="00842713"/>
    <w:rsid w:val="008465A8"/>
    <w:rsid w:val="00847248"/>
    <w:rsid w:val="00851ECF"/>
    <w:rsid w:val="00852DEA"/>
    <w:rsid w:val="00865D2C"/>
    <w:rsid w:val="008679D0"/>
    <w:rsid w:val="0087384A"/>
    <w:rsid w:val="00874AB3"/>
    <w:rsid w:val="008769EF"/>
    <w:rsid w:val="00883299"/>
    <w:rsid w:val="0088488C"/>
    <w:rsid w:val="00884DAE"/>
    <w:rsid w:val="0088693C"/>
    <w:rsid w:val="008A23C9"/>
    <w:rsid w:val="008A6712"/>
    <w:rsid w:val="008A73E6"/>
    <w:rsid w:val="008B678B"/>
    <w:rsid w:val="008C20A7"/>
    <w:rsid w:val="008C21CE"/>
    <w:rsid w:val="008C5BFE"/>
    <w:rsid w:val="008C6B6E"/>
    <w:rsid w:val="008D0D32"/>
    <w:rsid w:val="008E1BD5"/>
    <w:rsid w:val="008E60A4"/>
    <w:rsid w:val="008E7A27"/>
    <w:rsid w:val="008F0F38"/>
    <w:rsid w:val="008F448A"/>
    <w:rsid w:val="0090154A"/>
    <w:rsid w:val="00901624"/>
    <w:rsid w:val="00901F38"/>
    <w:rsid w:val="00902E07"/>
    <w:rsid w:val="009034E1"/>
    <w:rsid w:val="009062A8"/>
    <w:rsid w:val="00914E36"/>
    <w:rsid w:val="00914F2C"/>
    <w:rsid w:val="00915408"/>
    <w:rsid w:val="00920585"/>
    <w:rsid w:val="00921287"/>
    <w:rsid w:val="00936B6A"/>
    <w:rsid w:val="00947BE1"/>
    <w:rsid w:val="00947CE6"/>
    <w:rsid w:val="009503E4"/>
    <w:rsid w:val="00960EE0"/>
    <w:rsid w:val="009612EB"/>
    <w:rsid w:val="009731D3"/>
    <w:rsid w:val="009767AE"/>
    <w:rsid w:val="00986474"/>
    <w:rsid w:val="009967F6"/>
    <w:rsid w:val="00997E0F"/>
    <w:rsid w:val="009A1184"/>
    <w:rsid w:val="009A2B15"/>
    <w:rsid w:val="009A3C9C"/>
    <w:rsid w:val="009B3DEE"/>
    <w:rsid w:val="009C08BB"/>
    <w:rsid w:val="009C092C"/>
    <w:rsid w:val="009C30B9"/>
    <w:rsid w:val="009D55EA"/>
    <w:rsid w:val="009E0AC7"/>
    <w:rsid w:val="009E0B38"/>
    <w:rsid w:val="009E2126"/>
    <w:rsid w:val="009F11B3"/>
    <w:rsid w:val="009F3A04"/>
    <w:rsid w:val="00A0571D"/>
    <w:rsid w:val="00A06848"/>
    <w:rsid w:val="00A166D2"/>
    <w:rsid w:val="00A17E8B"/>
    <w:rsid w:val="00A2208A"/>
    <w:rsid w:val="00A23EC9"/>
    <w:rsid w:val="00A2760C"/>
    <w:rsid w:val="00A31BE8"/>
    <w:rsid w:val="00A31CBF"/>
    <w:rsid w:val="00A33D6A"/>
    <w:rsid w:val="00A34ACB"/>
    <w:rsid w:val="00A3593B"/>
    <w:rsid w:val="00A40EAC"/>
    <w:rsid w:val="00A42C19"/>
    <w:rsid w:val="00A440A0"/>
    <w:rsid w:val="00A46894"/>
    <w:rsid w:val="00A5497F"/>
    <w:rsid w:val="00A5561A"/>
    <w:rsid w:val="00A63D1E"/>
    <w:rsid w:val="00A671E1"/>
    <w:rsid w:val="00A903A5"/>
    <w:rsid w:val="00A92022"/>
    <w:rsid w:val="00A96325"/>
    <w:rsid w:val="00AB127F"/>
    <w:rsid w:val="00AB5C98"/>
    <w:rsid w:val="00AB6C44"/>
    <w:rsid w:val="00AF1C7D"/>
    <w:rsid w:val="00AF58E5"/>
    <w:rsid w:val="00B0096C"/>
    <w:rsid w:val="00B00ED4"/>
    <w:rsid w:val="00B118C0"/>
    <w:rsid w:val="00B120AE"/>
    <w:rsid w:val="00B140A1"/>
    <w:rsid w:val="00B22714"/>
    <w:rsid w:val="00B25572"/>
    <w:rsid w:val="00B25B4F"/>
    <w:rsid w:val="00B418E3"/>
    <w:rsid w:val="00B44A2E"/>
    <w:rsid w:val="00B44E0F"/>
    <w:rsid w:val="00B4568A"/>
    <w:rsid w:val="00B506D5"/>
    <w:rsid w:val="00B631AD"/>
    <w:rsid w:val="00B73209"/>
    <w:rsid w:val="00B75410"/>
    <w:rsid w:val="00B82D2F"/>
    <w:rsid w:val="00B87CB6"/>
    <w:rsid w:val="00B91E15"/>
    <w:rsid w:val="00B939FB"/>
    <w:rsid w:val="00BA63BF"/>
    <w:rsid w:val="00BA6C9D"/>
    <w:rsid w:val="00BE34BB"/>
    <w:rsid w:val="00BE5B12"/>
    <w:rsid w:val="00BF0219"/>
    <w:rsid w:val="00BF6035"/>
    <w:rsid w:val="00BF7E92"/>
    <w:rsid w:val="00C03D6C"/>
    <w:rsid w:val="00C079BE"/>
    <w:rsid w:val="00C10723"/>
    <w:rsid w:val="00C139EE"/>
    <w:rsid w:val="00C2224D"/>
    <w:rsid w:val="00C26249"/>
    <w:rsid w:val="00C2763F"/>
    <w:rsid w:val="00C27667"/>
    <w:rsid w:val="00C27750"/>
    <w:rsid w:val="00C366EB"/>
    <w:rsid w:val="00C40A91"/>
    <w:rsid w:val="00C507FA"/>
    <w:rsid w:val="00C5488C"/>
    <w:rsid w:val="00C67D59"/>
    <w:rsid w:val="00C76BAB"/>
    <w:rsid w:val="00C774C9"/>
    <w:rsid w:val="00C805B3"/>
    <w:rsid w:val="00CA167D"/>
    <w:rsid w:val="00CB6103"/>
    <w:rsid w:val="00CC4DF7"/>
    <w:rsid w:val="00CC7363"/>
    <w:rsid w:val="00CD4748"/>
    <w:rsid w:val="00CE4566"/>
    <w:rsid w:val="00CF6029"/>
    <w:rsid w:val="00D0286D"/>
    <w:rsid w:val="00D0658C"/>
    <w:rsid w:val="00D24A50"/>
    <w:rsid w:val="00D264E7"/>
    <w:rsid w:val="00D276F8"/>
    <w:rsid w:val="00D3247B"/>
    <w:rsid w:val="00D5125D"/>
    <w:rsid w:val="00D515FE"/>
    <w:rsid w:val="00D5775C"/>
    <w:rsid w:val="00D629CE"/>
    <w:rsid w:val="00D6346C"/>
    <w:rsid w:val="00D7046C"/>
    <w:rsid w:val="00D7541E"/>
    <w:rsid w:val="00D759C3"/>
    <w:rsid w:val="00D82C7E"/>
    <w:rsid w:val="00D84350"/>
    <w:rsid w:val="00D84FB4"/>
    <w:rsid w:val="00D86F61"/>
    <w:rsid w:val="00D93418"/>
    <w:rsid w:val="00D96EAE"/>
    <w:rsid w:val="00DA3485"/>
    <w:rsid w:val="00DA38B8"/>
    <w:rsid w:val="00DA60B8"/>
    <w:rsid w:val="00DB180A"/>
    <w:rsid w:val="00DC187F"/>
    <w:rsid w:val="00DC5161"/>
    <w:rsid w:val="00DE4BB6"/>
    <w:rsid w:val="00DE569C"/>
    <w:rsid w:val="00DE685A"/>
    <w:rsid w:val="00DE6B16"/>
    <w:rsid w:val="00DF55C5"/>
    <w:rsid w:val="00E01F58"/>
    <w:rsid w:val="00E01FE6"/>
    <w:rsid w:val="00E040E4"/>
    <w:rsid w:val="00E05BA3"/>
    <w:rsid w:val="00E05D3D"/>
    <w:rsid w:val="00E1130D"/>
    <w:rsid w:val="00E123DE"/>
    <w:rsid w:val="00E151E2"/>
    <w:rsid w:val="00E22405"/>
    <w:rsid w:val="00E24DA5"/>
    <w:rsid w:val="00E30AC2"/>
    <w:rsid w:val="00E317B6"/>
    <w:rsid w:val="00E35E53"/>
    <w:rsid w:val="00E37DB8"/>
    <w:rsid w:val="00E42224"/>
    <w:rsid w:val="00E4626E"/>
    <w:rsid w:val="00E5256A"/>
    <w:rsid w:val="00E675A7"/>
    <w:rsid w:val="00E70D0D"/>
    <w:rsid w:val="00E742F9"/>
    <w:rsid w:val="00E80D5E"/>
    <w:rsid w:val="00E83AB9"/>
    <w:rsid w:val="00E90497"/>
    <w:rsid w:val="00E90CBE"/>
    <w:rsid w:val="00E9144B"/>
    <w:rsid w:val="00E92AE4"/>
    <w:rsid w:val="00EA067D"/>
    <w:rsid w:val="00EA2CD2"/>
    <w:rsid w:val="00EA4F44"/>
    <w:rsid w:val="00EA659E"/>
    <w:rsid w:val="00EA79D0"/>
    <w:rsid w:val="00EB5218"/>
    <w:rsid w:val="00EB69CF"/>
    <w:rsid w:val="00EC78D8"/>
    <w:rsid w:val="00ED148A"/>
    <w:rsid w:val="00ED2C0F"/>
    <w:rsid w:val="00ED5AE2"/>
    <w:rsid w:val="00ED66ED"/>
    <w:rsid w:val="00EE26C5"/>
    <w:rsid w:val="00EE3D54"/>
    <w:rsid w:val="00EF227D"/>
    <w:rsid w:val="00EF6BED"/>
    <w:rsid w:val="00F00701"/>
    <w:rsid w:val="00F012F3"/>
    <w:rsid w:val="00F01BDA"/>
    <w:rsid w:val="00F02491"/>
    <w:rsid w:val="00F04CE5"/>
    <w:rsid w:val="00F05634"/>
    <w:rsid w:val="00F0744B"/>
    <w:rsid w:val="00F16A4E"/>
    <w:rsid w:val="00F2223F"/>
    <w:rsid w:val="00F27B3B"/>
    <w:rsid w:val="00F34CA0"/>
    <w:rsid w:val="00F362CC"/>
    <w:rsid w:val="00F471B3"/>
    <w:rsid w:val="00F51E6A"/>
    <w:rsid w:val="00F6180C"/>
    <w:rsid w:val="00F61DD2"/>
    <w:rsid w:val="00F6357F"/>
    <w:rsid w:val="00F677E1"/>
    <w:rsid w:val="00F70B90"/>
    <w:rsid w:val="00F737D0"/>
    <w:rsid w:val="00F81125"/>
    <w:rsid w:val="00F93E93"/>
    <w:rsid w:val="00FA24FF"/>
    <w:rsid w:val="00FB04AB"/>
    <w:rsid w:val="00FB13DE"/>
    <w:rsid w:val="00FB545C"/>
    <w:rsid w:val="00FC1386"/>
    <w:rsid w:val="00FC683F"/>
    <w:rsid w:val="00FE0ABE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675A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uiPriority w:val="99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szCs w:val="22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uiPriority w:val="99"/>
    <w:locked/>
    <w:rsid w:val="004E51A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675A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uiPriority w:val="99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szCs w:val="22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uiPriority w:val="99"/>
    <w:locked/>
    <w:rsid w:val="004E51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2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2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2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2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32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2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2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Project%20lessons%20learn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lessons learned.dot</Template>
  <TotalTime>216</TotalTime>
  <Pages>10</Pages>
  <Words>1533</Words>
  <Characters>8511</Characters>
  <Application>Microsoft Office Word</Application>
  <DocSecurity>0</DocSecurity>
  <Lines>70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TC250/SC7/EG &lt;X&gt;: &lt;Title&gt;</vt:lpstr>
    </vt:vector>
  </TitlesOfParts>
  <Company>Hewlett-Packard Company</Company>
  <LinksUpToDate>false</LinksUpToDate>
  <CharactersWithSpaces>10024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TC250/SC7/EG &lt;X&gt;: &lt;Title&gt;</dc:title>
  <dc:creator>Andrew Bond</dc:creator>
  <cp:lastModifiedBy>Andrew Bond</cp:lastModifiedBy>
  <cp:revision>37</cp:revision>
  <cp:lastPrinted>2014-07-28T15:19:00Z</cp:lastPrinted>
  <dcterms:created xsi:type="dcterms:W3CDTF">2014-07-28T15:21:00Z</dcterms:created>
  <dcterms:modified xsi:type="dcterms:W3CDTF">2014-09-04T08:28:00Z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TC011443191033</vt:lpwstr>
  </property>
</Properties>
</file>